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libri" w:cs="Calibri" w:eastAsia="Calibri" w:hAnsi="Calibri"/>
          <w:b/>
          <w:bCs/>
          <w:color w:val="008033"/>
          <w:spacing w:val="40"/>
          <w:sz w:val="20"/>
          <w:szCs w:val="20"/>
        </w:rPr>
        <w:t xml:space="preserve">SCOPE OF WORK &amp; ENGAGEMENT TERMS</w:t>
      </w:r>
    </w:p>
    <w:p>
      <w:pPr>
        <w:spacing w:after="100"/>
      </w:pPr>
      <w:r>
        <w:rPr>
          <w:rFonts w:ascii="Calibri" w:cs="Calibri" w:eastAsia="Calibri" w:hAnsi="Calibri"/>
          <w:b/>
          <w:bCs/>
          <w:color w:val="800000"/>
          <w:sz w:val="44"/>
          <w:szCs w:val="44"/>
        </w:rPr>
        <w:t xml:space="preserve">Provincial SME E-Commerce Platform</w:t>
      </w:r>
    </w:p>
    <w:p>
      <w:pPr>
        <w:pBdr>
          <w:bottom w:val="single" w:color="800000" w:sz="12"/>
        </w:pBdr>
        <w:spacing w:after="400"/>
      </w:pPr>
      <w:r>
        <w:rPr>
          <w:rFonts w:ascii="Calibri" w:cs="Calibri" w:eastAsia="Calibri" w:hAnsi="Calibri"/>
          <w:i/>
          <w:iCs/>
          <w:color w:val="5C5546"/>
          <w:sz w:val="22"/>
          <w:szCs w:val="22"/>
        </w:rPr>
        <w:t xml:space="preserve">Working title: “MaketPles ENB”</w:t>
      </w:r>
    </w:p>
    <w:tbl>
      <w:tblPr>
        <w:tblW w:type="dxa" w:w="8600"/>
        <w:tblBorders>
          <w:top w:val="single" w:color="C9C2B2" w:sz="4"/>
          <w:left w:val="single" w:color="C9C2B2" w:sz="4"/>
          <w:bottom w:val="single" w:color="C9C2B2" w:sz="4"/>
          <w:right w:val="single" w:color="C9C2B2" w:sz="4"/>
          <w:insideH w:val="single" w:color="DDD7C9" w:sz="2"/>
          <w:insideV w:val="single" w:color="DDD7C9" w:sz="2"/>
        </w:tblBorders>
      </w:tblPr>
      <w:tblGrid>
        <w:gridCol w:w="2200"/>
        <w:gridCol w:w="6400"/>
      </w:tblGrid>
      <w:tr>
        <w:tc>
          <w:tcPr>
            <w:tcW w:type="dxa" w:w="2200"/>
            <w:shd w:fill="F4F1E8" w:color="auto" w:val="clear"/>
            <w:tcMar>
              <w:top w:type="dxa" w:w="90"/>
              <w:left w:type="dxa" w:w="120"/>
              <w:bottom w:type="dxa" w:w="90"/>
              <w:right w:type="dxa" w:w="120"/>
            </w:tcMar>
          </w:tcPr>
          <w:p>
            <w:pPr>
              <w:spacing w:after="0" w:line="260"/>
              <w:jc w:val="left"/>
            </w:pPr>
            <w:r>
              <w:rPr>
                <w:rFonts w:ascii="Calibri" w:cs="Calibri" w:eastAsia="Calibri" w:hAnsi="Calibri"/>
                <w:b/>
                <w:bCs/>
                <w:color w:val="1A1713"/>
                <w:sz w:val="20"/>
                <w:szCs w:val="20"/>
              </w:rPr>
              <w:t xml:space="preserve">Prepared for</w:t>
            </w:r>
          </w:p>
        </w:tc>
        <w:tc>
          <w:tcPr>
            <w:tcW w:type="dxa" w:w="64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Division of Commerce &amp; Industry, East New Britain Provincial Administration</w:t>
            </w:r>
          </w:p>
        </w:tc>
      </w:tr>
      <w:tr>
        <w:tc>
          <w:tcPr>
            <w:tcW w:type="dxa" w:w="2200"/>
            <w:shd w:fill="F4F1E8" w:color="auto" w:val="clear"/>
            <w:tcMar>
              <w:top w:type="dxa" w:w="90"/>
              <w:left w:type="dxa" w:w="120"/>
              <w:bottom w:type="dxa" w:w="90"/>
              <w:right w:type="dxa" w:w="120"/>
            </w:tcMar>
          </w:tcPr>
          <w:p>
            <w:pPr>
              <w:spacing w:after="0" w:line="260"/>
              <w:jc w:val="left"/>
            </w:pPr>
            <w:r>
              <w:rPr>
                <w:rFonts w:ascii="Calibri" w:cs="Calibri" w:eastAsia="Calibri" w:hAnsi="Calibri"/>
                <w:b/>
                <w:bCs/>
                <w:color w:val="1A1713"/>
                <w:sz w:val="20"/>
                <w:szCs w:val="20"/>
              </w:rPr>
              <w:t xml:space="preserve">Prepared by</w:t>
            </w:r>
          </w:p>
        </w:tc>
        <w:tc>
          <w:tcPr>
            <w:tcW w:type="dxa" w:w="64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Ready Digital Consultancy</w:t>
            </w:r>
          </w:p>
        </w:tc>
      </w:tr>
      <w:tr>
        <w:tc>
          <w:tcPr>
            <w:tcW w:type="dxa" w:w="2200"/>
            <w:shd w:fill="F4F1E8" w:color="auto" w:val="clear"/>
            <w:tcMar>
              <w:top w:type="dxa" w:w="90"/>
              <w:left w:type="dxa" w:w="120"/>
              <w:bottom w:type="dxa" w:w="90"/>
              <w:right w:type="dxa" w:w="120"/>
            </w:tcMar>
          </w:tcPr>
          <w:p>
            <w:pPr>
              <w:spacing w:after="0" w:line="260"/>
              <w:jc w:val="left"/>
            </w:pPr>
            <w:r>
              <w:rPr>
                <w:rFonts w:ascii="Calibri" w:cs="Calibri" w:eastAsia="Calibri" w:hAnsi="Calibri"/>
                <w:b/>
                <w:bCs/>
                <w:color w:val="1A1713"/>
                <w:sz w:val="20"/>
                <w:szCs w:val="20"/>
              </w:rPr>
              <w:t xml:space="preserve">Document type</w:t>
            </w:r>
          </w:p>
        </w:tc>
        <w:tc>
          <w:tcPr>
            <w:tcW w:type="dxa" w:w="64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Scope of work, deliverables, fee schedule and engagement terms</w:t>
            </w:r>
          </w:p>
        </w:tc>
      </w:tr>
      <w:tr>
        <w:tc>
          <w:tcPr>
            <w:tcW w:type="dxa" w:w="2200"/>
            <w:shd w:fill="F4F1E8" w:color="auto" w:val="clear"/>
            <w:tcMar>
              <w:top w:type="dxa" w:w="90"/>
              <w:left w:type="dxa" w:w="120"/>
              <w:bottom w:type="dxa" w:w="90"/>
              <w:right w:type="dxa" w:w="120"/>
            </w:tcMar>
          </w:tcPr>
          <w:p>
            <w:pPr>
              <w:spacing w:after="0" w:line="260"/>
              <w:jc w:val="left"/>
            </w:pPr>
            <w:r>
              <w:rPr>
                <w:rFonts w:ascii="Calibri" w:cs="Calibri" w:eastAsia="Calibri" w:hAnsi="Calibri"/>
                <w:b/>
                <w:bCs/>
                <w:color w:val="1A1713"/>
                <w:sz w:val="20"/>
                <w:szCs w:val="20"/>
              </w:rPr>
              <w:t xml:space="preserve">Status</w:t>
            </w:r>
          </w:p>
        </w:tc>
        <w:tc>
          <w:tcPr>
            <w:tcW w:type="dxa" w:w="64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Draft for review and agreement</w:t>
            </w:r>
          </w:p>
        </w:tc>
      </w:tr>
      <w:tr>
        <w:tc>
          <w:tcPr>
            <w:tcW w:type="dxa" w:w="2200"/>
            <w:shd w:fill="F4F1E8" w:color="auto" w:val="clear"/>
            <w:tcMar>
              <w:top w:type="dxa" w:w="90"/>
              <w:left w:type="dxa" w:w="120"/>
              <w:bottom w:type="dxa" w:w="90"/>
              <w:right w:type="dxa" w:w="120"/>
            </w:tcMar>
          </w:tcPr>
          <w:p>
            <w:pPr>
              <w:spacing w:after="0" w:line="260"/>
              <w:jc w:val="left"/>
            </w:pPr>
            <w:r>
              <w:rPr>
                <w:rFonts w:ascii="Calibri" w:cs="Calibri" w:eastAsia="Calibri" w:hAnsi="Calibri"/>
                <w:b/>
                <w:bCs/>
                <w:color w:val="1A1713"/>
                <w:sz w:val="20"/>
                <w:szCs w:val="20"/>
              </w:rPr>
              <w:t xml:space="preserve">Date</w:t>
            </w:r>
          </w:p>
        </w:tc>
        <w:tc>
          <w:tcPr>
            <w:tcW w:type="dxa" w:w="64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__________________________</w:t>
            </w:r>
          </w:p>
        </w:tc>
      </w:tr>
    </w:tbl>
    <w:p>
      <w:pPr>
        <w:spacing w:before="500"/>
      </w:pPr>
      <w:r>
        <w:br w:type="page"/>
      </w:r>
    </w:p>
    <w:p>
      <w:pPr>
        <w:pStyle w:val="Heading1"/>
        <w:spacing w:after="160" w:before="360"/>
      </w:pPr>
      <w:r>
        <w:rPr>
          <w:rFonts w:ascii="Calibri" w:cs="Calibri" w:eastAsia="Calibri" w:hAnsi="Calibri"/>
          <w:b/>
          <w:bCs/>
          <w:color w:val="800000"/>
          <w:sz w:val="30"/>
          <w:szCs w:val="30"/>
        </w:rPr>
        <w:t xml:space="preserve">1.  Purpose of this document</w:t>
      </w:r>
    </w:p>
    <w:p>
      <w:pPr>
        <w:spacing w:after="120" w:line="276"/>
      </w:pPr>
      <w:r>
        <w:rPr>
          <w:rFonts w:ascii="Calibri" w:cs="Calibri" w:eastAsia="Calibri" w:hAnsi="Calibri"/>
          <w:color w:val="1A1713"/>
          <w:sz w:val="21"/>
          <w:szCs w:val="21"/>
        </w:rPr>
        <w:t xml:space="preserve">This document sets out what will be built, what it will cost, how and when payment is to be made, and what each party is responsible for, in relation to the proposed provincial SME e-commerce platform for the Division of Commerce &amp; Industry.</w:t>
      </w:r>
    </w:p>
    <w:p>
      <w:pPr>
        <w:spacing w:after="120" w:line="276"/>
      </w:pPr>
      <w:r>
        <w:rPr>
          <w:rFonts w:ascii="Calibri" w:cs="Calibri" w:eastAsia="Calibri" w:hAnsi="Calibri"/>
          <w:color w:val="1A1713"/>
          <w:sz w:val="21"/>
          <w:szCs w:val="21"/>
        </w:rPr>
        <w:t xml:space="preserve">It is written to be agreed before development work begins, so that both the Division and the Consultancy share the same understanding of scope. Any work requested that falls outside Section 4 is treated as a variation under Section 9.</w:t>
      </w:r>
    </w:p>
    <w:p>
      <w:pPr>
        <w:pStyle w:val="Heading1"/>
        <w:spacing w:after="160" w:before="360"/>
      </w:pPr>
      <w:r>
        <w:rPr>
          <w:rFonts w:ascii="Calibri" w:cs="Calibri" w:eastAsia="Calibri" w:hAnsi="Calibri"/>
          <w:b/>
          <w:bCs/>
          <w:color w:val="800000"/>
          <w:sz w:val="30"/>
          <w:szCs w:val="30"/>
        </w:rPr>
        <w:t xml:space="preserve">2.  Background and objective</w:t>
      </w:r>
    </w:p>
    <w:p>
      <w:pPr>
        <w:spacing w:after="120" w:line="276"/>
      </w:pPr>
      <w:r>
        <w:rPr>
          <w:rFonts w:ascii="Calibri" w:cs="Calibri" w:eastAsia="Calibri" w:hAnsi="Calibri"/>
          <w:color w:val="1A1713"/>
          <w:sz w:val="21"/>
          <w:szCs w:val="21"/>
        </w:rPr>
        <w:t xml:space="preserve">The Division of Commerce &amp; Industry is responsible for the growth of East New Britain's business sector. A significant constraint on local small and medium enterprises (SMEs) is market reach: producers across the province's four districts sell largely within their immediate locality, with no reliable channel to buyers elsewhere in Papua New Guinea or overseas.</w:t>
      </w:r>
    </w:p>
    <w:p>
      <w:pPr>
        <w:spacing w:after="120" w:line="276"/>
      </w:pPr>
      <w:r>
        <w:rPr>
          <w:rFonts w:ascii="Calibri" w:cs="Calibri" w:eastAsia="Calibri" w:hAnsi="Calibri"/>
          <w:color w:val="1A1713"/>
          <w:sz w:val="21"/>
          <w:szCs w:val="21"/>
        </w:rPr>
        <w:t xml:space="preserve">The objective of this project is to deliver an official, Division-backed online marketplace through which verified East New Britain SMEs can list products, receive orders, and be paid securely — extending the Division's existing mandate into a digital trading channel.</w:t>
      </w:r>
    </w:p>
    <w:p>
      <w:pPr>
        <w:spacing w:after="120" w:line="276"/>
      </w:pPr>
      <w:r>
        <w:rPr>
          <w:rFonts w:ascii="Calibri" w:cs="Calibri" w:eastAsia="Calibri" w:hAnsi="Calibri"/>
          <w:color w:val="1A1713"/>
          <w:sz w:val="21"/>
          <w:szCs w:val="21"/>
        </w:rPr>
        <w:t xml:space="preserve">The platform is modelled on established online marketplaces, but designed specifically for Papua New Guinean conditions: low card penetration, uneven internet access, and the importance of trusted intermediaries and family remittance.</w:t>
      </w:r>
    </w:p>
    <w:p>
      <w:pPr>
        <w:pStyle w:val="Heading1"/>
        <w:spacing w:after="160" w:before="360"/>
      </w:pPr>
      <w:r>
        <w:rPr>
          <w:rFonts w:ascii="Calibri" w:cs="Calibri" w:eastAsia="Calibri" w:hAnsi="Calibri"/>
          <w:b/>
          <w:bCs/>
          <w:color w:val="800000"/>
          <w:sz w:val="30"/>
          <w:szCs w:val="30"/>
        </w:rPr>
        <w:t xml:space="preserve">3.  Platform components</w:t>
      </w:r>
    </w:p>
    <w:p>
      <w:pPr>
        <w:spacing w:after="120" w:line="276"/>
      </w:pPr>
      <w:r>
        <w:rPr>
          <w:rFonts w:ascii="Calibri" w:cs="Calibri" w:eastAsia="Calibri" w:hAnsi="Calibri"/>
          <w:color w:val="1A1713"/>
          <w:sz w:val="21"/>
          <w:szCs w:val="21"/>
        </w:rPr>
        <w:t xml:space="preserve">The platform consists of four connected parts:</w:t>
      </w:r>
    </w:p>
    <w:p>
      <w:pPr>
        <w:pStyle w:val="ListParagraph"/>
        <w:numPr>
          <w:ilvl w:val="0"/>
          <w:numId w:val="2"/>
        </w:numPr>
        <w:spacing w:after="80" w:line="276"/>
      </w:pPr>
      <w:r>
        <w:rPr>
          <w:rFonts w:ascii="Calibri" w:cs="Calibri" w:eastAsia="Calibri" w:hAnsi="Calibri"/>
          <w:color w:val="1A1713"/>
          <w:sz w:val="21"/>
          <w:szCs w:val="21"/>
        </w:rPr>
        <w:t xml:space="preserve">Public marketplace — the buyer-facing website where products are browsed, searched and purchased.</w:t>
      </w:r>
    </w:p>
    <w:p>
      <w:pPr>
        <w:pStyle w:val="ListParagraph"/>
        <w:numPr>
          <w:ilvl w:val="0"/>
          <w:numId w:val="2"/>
        </w:numPr>
        <w:spacing w:after="80" w:line="276"/>
      </w:pPr>
      <w:r>
        <w:rPr>
          <w:rFonts w:ascii="Calibri" w:cs="Calibri" w:eastAsia="Calibri" w:hAnsi="Calibri"/>
          <w:color w:val="1A1713"/>
          <w:sz w:val="21"/>
          <w:szCs w:val="21"/>
        </w:rPr>
        <w:t xml:space="preserve">Seller portal — a private login for each registered SME to manage their own listings, orders and payouts.</w:t>
      </w:r>
    </w:p>
    <w:p>
      <w:pPr>
        <w:pStyle w:val="ListParagraph"/>
        <w:numPr>
          <w:ilvl w:val="0"/>
          <w:numId w:val="2"/>
        </w:numPr>
        <w:spacing w:after="80" w:line="276"/>
      </w:pPr>
      <w:r>
        <w:rPr>
          <w:rFonts w:ascii="Calibri" w:cs="Calibri" w:eastAsia="Calibri" w:hAnsi="Calibri"/>
          <w:color w:val="1A1713"/>
          <w:sz w:val="21"/>
          <w:szCs w:val="21"/>
        </w:rPr>
        <w:t xml:space="preserve">Division administration panel — an internal login for Division staff to approve sellers, review submitted listings, and oversee orders.</w:t>
      </w:r>
    </w:p>
    <w:p>
      <w:pPr>
        <w:pStyle w:val="ListParagraph"/>
        <w:numPr>
          <w:ilvl w:val="0"/>
          <w:numId w:val="2"/>
        </w:numPr>
        <w:spacing w:after="80" w:line="276"/>
      </w:pPr>
      <w:r>
        <w:rPr>
          <w:rFonts w:ascii="Calibri" w:cs="Calibri" w:eastAsia="Calibri" w:hAnsi="Calibri"/>
          <w:color w:val="1A1713"/>
          <w:sz w:val="21"/>
          <w:szCs w:val="21"/>
        </w:rPr>
        <w:t xml:space="preserve">Agent facility — a mechanism allowing a registered local agent to place an order on behalf of a buyer who does not hold a payment card, earning a commission on completed sales.</w:t>
      </w:r>
    </w:p>
    <w:p>
      <w:pPr>
        <w:pStyle w:val="Heading1"/>
        <w:spacing w:after="160" w:before="360"/>
      </w:pPr>
      <w:r>
        <w:rPr>
          <w:rFonts w:ascii="Calibri" w:cs="Calibri" w:eastAsia="Calibri" w:hAnsi="Calibri"/>
          <w:b/>
          <w:bCs/>
          <w:color w:val="800000"/>
          <w:sz w:val="30"/>
          <w:szCs w:val="30"/>
        </w:rPr>
        <w:t xml:space="preserve">4.  Scope of work (included in this engagement)</w:t>
      </w:r>
    </w:p>
    <w:p>
      <w:pPr>
        <w:pStyle w:val="Heading2"/>
        <w:spacing w:after="120" w:before="260"/>
      </w:pPr>
      <w:r>
        <w:rPr>
          <w:rFonts w:ascii="Calibri" w:cs="Calibri" w:eastAsia="Calibri" w:hAnsi="Calibri"/>
          <w:b/>
          <w:bCs/>
          <w:color w:val="1A1713"/>
          <w:sz w:val="24"/>
          <w:szCs w:val="24"/>
        </w:rPr>
        <w:t xml:space="preserve">4.1  Marketplace (buyer-facing)</w:t>
      </w:r>
    </w:p>
    <w:p>
      <w:pPr>
        <w:pStyle w:val="ListParagraph"/>
        <w:numPr>
          <w:ilvl w:val="0"/>
          <w:numId w:val="2"/>
        </w:numPr>
        <w:spacing w:after="80" w:line="276"/>
      </w:pPr>
      <w:r>
        <w:rPr>
          <w:rFonts w:ascii="Calibri" w:cs="Calibri" w:eastAsia="Calibri" w:hAnsi="Calibri"/>
          <w:color w:val="1A1713"/>
          <w:sz w:val="21"/>
          <w:szCs w:val="21"/>
        </w:rPr>
        <w:t xml:space="preserve">Responsive website suitable for mobile and desktop, using the Division's official branding.</w:t>
      </w:r>
    </w:p>
    <w:p>
      <w:pPr>
        <w:pStyle w:val="ListParagraph"/>
        <w:numPr>
          <w:ilvl w:val="0"/>
          <w:numId w:val="2"/>
        </w:numPr>
        <w:spacing w:after="80" w:line="276"/>
      </w:pPr>
      <w:r>
        <w:rPr>
          <w:rFonts w:ascii="Calibri" w:cs="Calibri" w:eastAsia="Calibri" w:hAnsi="Calibri"/>
          <w:color w:val="1A1713"/>
          <w:sz w:val="21"/>
          <w:szCs w:val="21"/>
        </w:rPr>
        <w:t xml:space="preserve">Product catalogue with category, district and seller filtering, and keyword search.</w:t>
      </w:r>
    </w:p>
    <w:p>
      <w:pPr>
        <w:pStyle w:val="ListParagraph"/>
        <w:numPr>
          <w:ilvl w:val="0"/>
          <w:numId w:val="2"/>
        </w:numPr>
        <w:spacing w:after="80" w:line="276"/>
      </w:pPr>
      <w:r>
        <w:rPr>
          <w:rFonts w:ascii="Calibri" w:cs="Calibri" w:eastAsia="Calibri" w:hAnsi="Calibri"/>
          <w:color w:val="1A1713"/>
          <w:sz w:val="21"/>
          <w:szCs w:val="21"/>
        </w:rPr>
        <w:t xml:space="preserve">Individual product pages with images, description, price, stock status and seller identification.</w:t>
      </w:r>
    </w:p>
    <w:p>
      <w:pPr>
        <w:pStyle w:val="ListParagraph"/>
        <w:numPr>
          <w:ilvl w:val="0"/>
          <w:numId w:val="2"/>
        </w:numPr>
        <w:spacing w:after="80" w:line="276"/>
      </w:pPr>
      <w:r>
        <w:rPr>
          <w:rFonts w:ascii="Calibri" w:cs="Calibri" w:eastAsia="Calibri" w:hAnsi="Calibri"/>
          <w:color w:val="1A1713"/>
          <w:sz w:val="21"/>
          <w:szCs w:val="21"/>
        </w:rPr>
        <w:t xml:space="preserve">Seller (“stall”) pages listing all products from a single SME.</w:t>
      </w:r>
    </w:p>
    <w:p>
      <w:pPr>
        <w:pStyle w:val="ListParagraph"/>
        <w:numPr>
          <w:ilvl w:val="0"/>
          <w:numId w:val="2"/>
        </w:numPr>
        <w:spacing w:after="80" w:line="276"/>
      </w:pPr>
      <w:r>
        <w:rPr>
          <w:rFonts w:ascii="Calibri" w:cs="Calibri" w:eastAsia="Calibri" w:hAnsi="Calibri"/>
          <w:color w:val="1A1713"/>
          <w:sz w:val="21"/>
          <w:szCs w:val="21"/>
        </w:rPr>
        <w:t xml:space="preserve">Shopping basket and checkout.</w:t>
      </w:r>
    </w:p>
    <w:p>
      <w:pPr>
        <w:pStyle w:val="ListParagraph"/>
        <w:numPr>
          <w:ilvl w:val="0"/>
          <w:numId w:val="2"/>
        </w:numPr>
        <w:spacing w:after="80" w:line="276"/>
      </w:pPr>
      <w:r>
        <w:rPr>
          <w:rFonts w:ascii="Calibri" w:cs="Calibri" w:eastAsia="Calibri" w:hAnsi="Calibri"/>
          <w:color w:val="1A1713"/>
          <w:sz w:val="21"/>
          <w:szCs w:val="21"/>
        </w:rPr>
        <w:t xml:space="preserve">“Send home” checkout option allowing a buyer outside the province to nominate a recipient within East New Britain.</w:t>
      </w:r>
    </w:p>
    <w:p>
      <w:pPr>
        <w:pStyle w:val="ListParagraph"/>
        <w:numPr>
          <w:ilvl w:val="0"/>
          <w:numId w:val="2"/>
        </w:numPr>
        <w:spacing w:after="80" w:line="276"/>
      </w:pPr>
      <w:r>
        <w:rPr>
          <w:rFonts w:ascii="Calibri" w:cs="Calibri" w:eastAsia="Calibri" w:hAnsi="Calibri"/>
          <w:color w:val="1A1713"/>
          <w:sz w:val="21"/>
          <w:szCs w:val="21"/>
        </w:rPr>
        <w:t xml:space="preserve">Buyer accounts with order history and saved delivery details.</w:t>
      </w:r>
    </w:p>
    <w:p>
      <w:pPr>
        <w:pStyle w:val="ListParagraph"/>
        <w:numPr>
          <w:ilvl w:val="0"/>
          <w:numId w:val="2"/>
        </w:numPr>
        <w:spacing w:after="80" w:line="276"/>
      </w:pPr>
      <w:r>
        <w:rPr>
          <w:rFonts w:ascii="Calibri" w:cs="Calibri" w:eastAsia="Calibri" w:hAnsi="Calibri"/>
          <w:color w:val="1A1713"/>
          <w:sz w:val="21"/>
          <w:szCs w:val="21"/>
        </w:rPr>
        <w:t xml:space="preserve">Static institutional content: Division information, how-it-works guidance, notices and contact details.</w:t>
      </w:r>
    </w:p>
    <w:p>
      <w:pPr>
        <w:pStyle w:val="Heading2"/>
        <w:spacing w:after="120" w:before="260"/>
      </w:pPr>
      <w:r>
        <w:rPr>
          <w:rFonts w:ascii="Calibri" w:cs="Calibri" w:eastAsia="Calibri" w:hAnsi="Calibri"/>
          <w:b/>
          <w:bCs/>
          <w:color w:val="1A1713"/>
          <w:sz w:val="24"/>
          <w:szCs w:val="24"/>
        </w:rPr>
        <w:t xml:space="preserve">4.2  Seller portal</w:t>
      </w:r>
    </w:p>
    <w:p>
      <w:pPr>
        <w:pStyle w:val="ListParagraph"/>
        <w:numPr>
          <w:ilvl w:val="0"/>
          <w:numId w:val="2"/>
        </w:numPr>
        <w:spacing w:after="80" w:line="276"/>
      </w:pPr>
      <w:r>
        <w:rPr>
          <w:rFonts w:ascii="Calibri" w:cs="Calibri" w:eastAsia="Calibri" w:hAnsi="Calibri"/>
          <w:color w:val="1A1713"/>
          <w:sz w:val="21"/>
          <w:szCs w:val="21"/>
        </w:rPr>
        <w:t xml:space="preserve">Individual secure login per registered SME.</w:t>
      </w:r>
    </w:p>
    <w:p>
      <w:pPr>
        <w:pStyle w:val="ListParagraph"/>
        <w:numPr>
          <w:ilvl w:val="0"/>
          <w:numId w:val="2"/>
        </w:numPr>
        <w:spacing w:after="80" w:line="276"/>
      </w:pPr>
      <w:r>
        <w:rPr>
          <w:rFonts w:ascii="Calibri" w:cs="Calibri" w:eastAsia="Calibri" w:hAnsi="Calibri"/>
          <w:color w:val="1A1713"/>
          <w:sz w:val="21"/>
          <w:szCs w:val="21"/>
        </w:rPr>
        <w:t xml:space="preserve">Product creation and editing, with photo upload and optional video by external link.</w:t>
      </w:r>
    </w:p>
    <w:p>
      <w:pPr>
        <w:pStyle w:val="ListParagraph"/>
        <w:numPr>
          <w:ilvl w:val="0"/>
          <w:numId w:val="2"/>
        </w:numPr>
        <w:spacing w:after="80" w:line="276"/>
      </w:pPr>
      <w:r>
        <w:rPr>
          <w:rFonts w:ascii="Calibri" w:cs="Calibri" w:eastAsia="Calibri" w:hAnsi="Calibri"/>
          <w:color w:val="1A1713"/>
          <w:sz w:val="21"/>
          <w:szCs w:val="21"/>
        </w:rPr>
        <w:t xml:space="preserve">Submission of new listings and material changes to the Division's review queue prior to publication.</w:t>
      </w:r>
    </w:p>
    <w:p>
      <w:pPr>
        <w:pStyle w:val="ListParagraph"/>
        <w:numPr>
          <w:ilvl w:val="0"/>
          <w:numId w:val="2"/>
        </w:numPr>
        <w:spacing w:after="80" w:line="276"/>
      </w:pPr>
      <w:r>
        <w:rPr>
          <w:rFonts w:ascii="Calibri" w:cs="Calibri" w:eastAsia="Calibri" w:hAnsi="Calibri"/>
          <w:color w:val="1A1713"/>
          <w:sz w:val="21"/>
          <w:szCs w:val="21"/>
        </w:rPr>
        <w:t xml:space="preserve">Direct update of price and stock levels without review, with all changes logged.</w:t>
      </w:r>
    </w:p>
    <w:p>
      <w:pPr>
        <w:pStyle w:val="ListParagraph"/>
        <w:numPr>
          <w:ilvl w:val="0"/>
          <w:numId w:val="2"/>
        </w:numPr>
        <w:spacing w:after="80" w:line="276"/>
      </w:pPr>
      <w:r>
        <w:rPr>
          <w:rFonts w:ascii="Calibri" w:cs="Calibri" w:eastAsia="Calibri" w:hAnsi="Calibri"/>
          <w:color w:val="1A1713"/>
          <w:sz w:val="21"/>
          <w:szCs w:val="21"/>
        </w:rPr>
        <w:t xml:space="preserve">View of orders received against that seller's products, and ability to mark orders fulfilled.</w:t>
      </w:r>
    </w:p>
    <w:p>
      <w:pPr>
        <w:pStyle w:val="ListParagraph"/>
        <w:numPr>
          <w:ilvl w:val="0"/>
          <w:numId w:val="2"/>
        </w:numPr>
        <w:spacing w:after="80" w:line="276"/>
      </w:pPr>
      <w:r>
        <w:rPr>
          <w:rFonts w:ascii="Calibri" w:cs="Calibri" w:eastAsia="Calibri" w:hAnsi="Calibri"/>
          <w:color w:val="1A1713"/>
          <w:sz w:val="21"/>
          <w:szCs w:val="21"/>
        </w:rPr>
        <w:t xml:space="preserve">Payout statement showing gross sales, platform commission deducted, and net amount payable.</w:t>
      </w:r>
    </w:p>
    <w:p>
      <w:pPr>
        <w:pStyle w:val="Heading2"/>
        <w:spacing w:after="120" w:before="260"/>
      </w:pPr>
      <w:r>
        <w:rPr>
          <w:rFonts w:ascii="Calibri" w:cs="Calibri" w:eastAsia="Calibri" w:hAnsi="Calibri"/>
          <w:b/>
          <w:bCs/>
          <w:color w:val="1A1713"/>
          <w:sz w:val="24"/>
          <w:szCs w:val="24"/>
        </w:rPr>
        <w:t xml:space="preserve">4.3  Division administration panel</w:t>
      </w:r>
    </w:p>
    <w:p>
      <w:pPr>
        <w:pStyle w:val="ListParagraph"/>
        <w:numPr>
          <w:ilvl w:val="0"/>
          <w:numId w:val="2"/>
        </w:numPr>
        <w:spacing w:after="80" w:line="276"/>
      </w:pPr>
      <w:r>
        <w:rPr>
          <w:rFonts w:ascii="Calibri" w:cs="Calibri" w:eastAsia="Calibri" w:hAnsi="Calibri"/>
          <w:color w:val="1A1713"/>
          <w:sz w:val="21"/>
          <w:szCs w:val="21"/>
        </w:rPr>
        <w:t xml:space="preserve">Review and approval or rejection of SME registration applications.</w:t>
      </w:r>
    </w:p>
    <w:p>
      <w:pPr>
        <w:pStyle w:val="ListParagraph"/>
        <w:numPr>
          <w:ilvl w:val="0"/>
          <w:numId w:val="2"/>
        </w:numPr>
        <w:spacing w:after="80" w:line="276"/>
      </w:pPr>
      <w:r>
        <w:rPr>
          <w:rFonts w:ascii="Calibri" w:cs="Calibri" w:eastAsia="Calibri" w:hAnsi="Calibri"/>
          <w:color w:val="1A1713"/>
          <w:sz w:val="21"/>
          <w:szCs w:val="21"/>
        </w:rPr>
        <w:t xml:space="preserve">Review queue for submitted product listings, with the ability to return a listing with a stated reason.</w:t>
      </w:r>
    </w:p>
    <w:p>
      <w:pPr>
        <w:pStyle w:val="ListParagraph"/>
        <w:numPr>
          <w:ilvl w:val="0"/>
          <w:numId w:val="2"/>
        </w:numPr>
        <w:spacing w:after="80" w:line="276"/>
      </w:pPr>
      <w:r>
        <w:rPr>
          <w:rFonts w:ascii="Calibri" w:cs="Calibri" w:eastAsia="Calibri" w:hAnsi="Calibri"/>
          <w:color w:val="1A1713"/>
          <w:sz w:val="21"/>
          <w:szCs w:val="21"/>
        </w:rPr>
        <w:t xml:space="preserve">Oversight of all orders across all sellers.</w:t>
      </w:r>
    </w:p>
    <w:p>
      <w:pPr>
        <w:pStyle w:val="ListParagraph"/>
        <w:numPr>
          <w:ilvl w:val="0"/>
          <w:numId w:val="2"/>
        </w:numPr>
        <w:spacing w:after="80" w:line="276"/>
      </w:pPr>
      <w:r>
        <w:rPr>
          <w:rFonts w:ascii="Calibri" w:cs="Calibri" w:eastAsia="Calibri" w:hAnsi="Calibri"/>
          <w:color w:val="1A1713"/>
          <w:sz w:val="21"/>
          <w:szCs w:val="21"/>
        </w:rPr>
        <w:t xml:space="preserve">Management of agent accounts and commission rates.</w:t>
      </w:r>
    </w:p>
    <w:p>
      <w:pPr>
        <w:pStyle w:val="ListParagraph"/>
        <w:numPr>
          <w:ilvl w:val="0"/>
          <w:numId w:val="2"/>
        </w:numPr>
        <w:spacing w:after="80" w:line="276"/>
      </w:pPr>
      <w:r>
        <w:rPr>
          <w:rFonts w:ascii="Calibri" w:cs="Calibri" w:eastAsia="Calibri" w:hAnsi="Calibri"/>
          <w:color w:val="1A1713"/>
          <w:sz w:val="21"/>
          <w:szCs w:val="21"/>
        </w:rPr>
        <w:t xml:space="preserve">Publication of official notices to the public site.</w:t>
      </w:r>
    </w:p>
    <w:p>
      <w:pPr>
        <w:pStyle w:val="ListParagraph"/>
        <w:numPr>
          <w:ilvl w:val="0"/>
          <w:numId w:val="2"/>
        </w:numPr>
        <w:spacing w:after="80" w:line="276"/>
      </w:pPr>
      <w:r>
        <w:rPr>
          <w:rFonts w:ascii="Calibri" w:cs="Calibri" w:eastAsia="Calibri" w:hAnsi="Calibri"/>
          <w:color w:val="1A1713"/>
          <w:sz w:val="21"/>
          <w:szCs w:val="21"/>
        </w:rPr>
        <w:t xml:space="preserve">Export of order and price data for the Division's economic reporting purposes.</w:t>
      </w:r>
    </w:p>
    <w:p>
      <w:pPr>
        <w:pStyle w:val="Heading2"/>
        <w:spacing w:after="120" w:before="260"/>
      </w:pPr>
      <w:r>
        <w:rPr>
          <w:rFonts w:ascii="Calibri" w:cs="Calibri" w:eastAsia="Calibri" w:hAnsi="Calibri"/>
          <w:b/>
          <w:bCs/>
          <w:color w:val="1A1713"/>
          <w:sz w:val="24"/>
          <w:szCs w:val="24"/>
        </w:rPr>
        <w:t xml:space="preserve">4.4  Payments and settlement</w:t>
      </w:r>
    </w:p>
    <w:p>
      <w:pPr>
        <w:pStyle w:val="ListParagraph"/>
        <w:numPr>
          <w:ilvl w:val="0"/>
          <w:numId w:val="2"/>
        </w:numPr>
        <w:spacing w:after="80" w:line="276"/>
      </w:pPr>
      <w:r>
        <w:rPr>
          <w:rFonts w:ascii="Calibri" w:cs="Calibri" w:eastAsia="Calibri" w:hAnsi="Calibri"/>
          <w:color w:val="1A1713"/>
          <w:sz w:val="21"/>
          <w:szCs w:val="21"/>
        </w:rPr>
        <w:t xml:space="preserve">Integration with one approved Papua New Guinean payment gateway for card payment, using the gateway's hosted payment page so that no cardholder data is stored by the platform.</w:t>
      </w:r>
    </w:p>
    <w:p>
      <w:pPr>
        <w:pStyle w:val="ListParagraph"/>
        <w:numPr>
          <w:ilvl w:val="0"/>
          <w:numId w:val="2"/>
        </w:numPr>
        <w:spacing w:after="80" w:line="276"/>
      </w:pPr>
      <w:r>
        <w:rPr>
          <w:rFonts w:ascii="Calibri" w:cs="Calibri" w:eastAsia="Calibri" w:hAnsi="Calibri"/>
          <w:color w:val="1A1713"/>
          <w:sz w:val="21"/>
          <w:szCs w:val="21"/>
        </w:rPr>
        <w:t xml:space="preserve">Server-side confirmation of payment before an order is treated as paid.</w:t>
      </w:r>
    </w:p>
    <w:p>
      <w:pPr>
        <w:pStyle w:val="ListParagraph"/>
        <w:numPr>
          <w:ilvl w:val="0"/>
          <w:numId w:val="2"/>
        </w:numPr>
        <w:spacing w:after="80" w:line="276"/>
      </w:pPr>
      <w:r>
        <w:rPr>
          <w:rFonts w:ascii="Calibri" w:cs="Calibri" w:eastAsia="Calibri" w:hAnsi="Calibri"/>
          <w:color w:val="1A1713"/>
          <w:sz w:val="21"/>
          <w:szCs w:val="21"/>
        </w:rPr>
        <w:t xml:space="preserve">Recording of the purchase price at the time of sale, so that later price changes by a seller do not alter completed orders.</w:t>
      </w:r>
    </w:p>
    <w:p>
      <w:pPr>
        <w:pStyle w:val="ListParagraph"/>
        <w:numPr>
          <w:ilvl w:val="0"/>
          <w:numId w:val="2"/>
        </w:numPr>
        <w:spacing w:after="80" w:line="276"/>
      </w:pPr>
      <w:r>
        <w:rPr>
          <w:rFonts w:ascii="Calibri" w:cs="Calibri" w:eastAsia="Calibri" w:hAnsi="Calibri"/>
          <w:color w:val="1A1713"/>
          <w:sz w:val="21"/>
          <w:szCs w:val="21"/>
        </w:rPr>
        <w:t xml:space="preserve">A settlement ledger recording, per seller, amounts collected, commission retained, and amounts owing — to support the Division in making periodic payouts to SMEs.</w:t>
      </w:r>
    </w:p>
    <w:p>
      <w:pPr>
        <w:spacing w:after="120" w:line="276"/>
      </w:pPr>
      <w:r>
        <w:rPr>
          <w:rFonts w:ascii="Calibri" w:cs="Calibri" w:eastAsia="Calibri" w:hAnsi="Calibri"/>
          <w:i/>
          <w:iCs/>
          <w:color w:val="5C5546"/>
          <w:sz w:val="21"/>
          <w:szCs w:val="21"/>
        </w:rPr>
        <w:t xml:space="preserve">Note: payment funds are received into a merchant account held by the Division or its nominated entity. The Consultancy does not receive, hold or disburse any customer funds at any point.</w:t>
      </w:r>
    </w:p>
    <w:p>
      <w:pPr>
        <w:pStyle w:val="Heading2"/>
        <w:spacing w:after="120" w:before="260"/>
      </w:pPr>
      <w:r>
        <w:rPr>
          <w:rFonts w:ascii="Calibri" w:cs="Calibri" w:eastAsia="Calibri" w:hAnsi="Calibri"/>
          <w:b/>
          <w:bCs/>
          <w:color w:val="1A1713"/>
          <w:sz w:val="24"/>
          <w:szCs w:val="24"/>
        </w:rPr>
        <w:t xml:space="preserve">4.5  Notifications</w:t>
      </w:r>
    </w:p>
    <w:p>
      <w:pPr>
        <w:pStyle w:val="ListParagraph"/>
        <w:numPr>
          <w:ilvl w:val="0"/>
          <w:numId w:val="2"/>
        </w:numPr>
        <w:spacing w:after="80" w:line="276"/>
      </w:pPr>
      <w:r>
        <w:rPr>
          <w:rFonts w:ascii="Calibri" w:cs="Calibri" w:eastAsia="Calibri" w:hAnsi="Calibri"/>
          <w:color w:val="1A1713"/>
          <w:sz w:val="21"/>
          <w:szCs w:val="21"/>
        </w:rPr>
        <w:t xml:space="preserve">Order confirmation to the buyer.</w:t>
      </w:r>
    </w:p>
    <w:p>
      <w:pPr>
        <w:pStyle w:val="ListParagraph"/>
        <w:numPr>
          <w:ilvl w:val="0"/>
          <w:numId w:val="2"/>
        </w:numPr>
        <w:spacing w:after="80" w:line="276"/>
      </w:pPr>
      <w:r>
        <w:rPr>
          <w:rFonts w:ascii="Calibri" w:cs="Calibri" w:eastAsia="Calibri" w:hAnsi="Calibri"/>
          <w:color w:val="1A1713"/>
          <w:sz w:val="21"/>
          <w:szCs w:val="21"/>
        </w:rPr>
        <w:t xml:space="preserve">Order notification to the relevant seller.</w:t>
      </w:r>
    </w:p>
    <w:p>
      <w:pPr>
        <w:pStyle w:val="ListParagraph"/>
        <w:numPr>
          <w:ilvl w:val="0"/>
          <w:numId w:val="2"/>
        </w:numPr>
        <w:spacing w:after="80" w:line="276"/>
      </w:pPr>
      <w:r>
        <w:rPr>
          <w:rFonts w:ascii="Calibri" w:cs="Calibri" w:eastAsia="Calibri" w:hAnsi="Calibri"/>
          <w:color w:val="1A1713"/>
          <w:sz w:val="21"/>
          <w:szCs w:val="21"/>
        </w:rPr>
        <w:t xml:space="preserve">Collection or delivery notification to the nominated recipient where the “send home” option is used.</w:t>
      </w:r>
    </w:p>
    <w:p>
      <w:pPr>
        <w:pStyle w:val="Heading2"/>
        <w:spacing w:after="120" w:before="260"/>
      </w:pPr>
      <w:r>
        <w:rPr>
          <w:rFonts w:ascii="Calibri" w:cs="Calibri" w:eastAsia="Calibri" w:hAnsi="Calibri"/>
          <w:b/>
          <w:bCs/>
          <w:color w:val="1A1713"/>
          <w:sz w:val="24"/>
          <w:szCs w:val="24"/>
        </w:rPr>
        <w:t xml:space="preserve">4.6  Deployment and handover</w:t>
      </w:r>
    </w:p>
    <w:p>
      <w:pPr>
        <w:pStyle w:val="ListParagraph"/>
        <w:numPr>
          <w:ilvl w:val="0"/>
          <w:numId w:val="2"/>
        </w:numPr>
        <w:spacing w:after="80" w:line="276"/>
      </w:pPr>
      <w:r>
        <w:rPr>
          <w:rFonts w:ascii="Calibri" w:cs="Calibri" w:eastAsia="Calibri" w:hAnsi="Calibri"/>
          <w:color w:val="1A1713"/>
          <w:sz w:val="21"/>
          <w:szCs w:val="21"/>
        </w:rPr>
        <w:t xml:space="preserve">Deployment of the platform to live hosting on the Division's domain.</w:t>
      </w:r>
    </w:p>
    <w:p>
      <w:pPr>
        <w:pStyle w:val="ListParagraph"/>
        <w:numPr>
          <w:ilvl w:val="0"/>
          <w:numId w:val="2"/>
        </w:numPr>
        <w:spacing w:after="80" w:line="276"/>
      </w:pPr>
      <w:r>
        <w:rPr>
          <w:rFonts w:ascii="Calibri" w:cs="Calibri" w:eastAsia="Calibri" w:hAnsi="Calibri"/>
          <w:color w:val="1A1713"/>
          <w:sz w:val="21"/>
          <w:szCs w:val="21"/>
        </w:rPr>
        <w:t xml:space="preserve">Configuration of the production database and storage.</w:t>
      </w:r>
    </w:p>
    <w:p>
      <w:pPr>
        <w:pStyle w:val="ListParagraph"/>
        <w:numPr>
          <w:ilvl w:val="0"/>
          <w:numId w:val="2"/>
        </w:numPr>
        <w:spacing w:after="80" w:line="276"/>
      </w:pPr>
      <w:r>
        <w:rPr>
          <w:rFonts w:ascii="Calibri" w:cs="Calibri" w:eastAsia="Calibri" w:hAnsi="Calibri"/>
          <w:color w:val="1A1713"/>
          <w:sz w:val="21"/>
          <w:szCs w:val="21"/>
        </w:rPr>
        <w:t xml:space="preserve">Written administrator guide for Division staff covering seller approval, listing review and notice publication.</w:t>
      </w:r>
    </w:p>
    <w:p>
      <w:pPr>
        <w:pStyle w:val="ListParagraph"/>
        <w:numPr>
          <w:ilvl w:val="0"/>
          <w:numId w:val="2"/>
        </w:numPr>
        <w:spacing w:after="80" w:line="276"/>
      </w:pPr>
      <w:r>
        <w:rPr>
          <w:rFonts w:ascii="Calibri" w:cs="Calibri" w:eastAsia="Calibri" w:hAnsi="Calibri"/>
          <w:color w:val="1A1713"/>
          <w:sz w:val="21"/>
          <w:szCs w:val="21"/>
        </w:rPr>
        <w:t xml:space="preserve">Written seller guide suitable for distribution to SMEs.</w:t>
      </w:r>
    </w:p>
    <w:p>
      <w:pPr>
        <w:pStyle w:val="ListParagraph"/>
        <w:numPr>
          <w:ilvl w:val="0"/>
          <w:numId w:val="2"/>
        </w:numPr>
        <w:spacing w:after="80" w:line="276"/>
      </w:pPr>
      <w:r>
        <w:rPr>
          <w:rFonts w:ascii="Calibri" w:cs="Calibri" w:eastAsia="Calibri" w:hAnsi="Calibri"/>
          <w:color w:val="1A1713"/>
          <w:sz w:val="21"/>
          <w:szCs w:val="21"/>
        </w:rPr>
        <w:t xml:space="preserve">One training session for nominated Division staff.</w:t>
      </w:r>
    </w:p>
    <w:p>
      <w:pPr>
        <w:pStyle w:val="Heading1"/>
        <w:spacing w:after="160" w:before="360"/>
      </w:pPr>
      <w:r>
        <w:rPr>
          <w:rFonts w:ascii="Calibri" w:cs="Calibri" w:eastAsia="Calibri" w:hAnsi="Calibri"/>
          <w:b/>
          <w:bCs/>
          <w:color w:val="800000"/>
          <w:sz w:val="30"/>
          <w:szCs w:val="30"/>
        </w:rPr>
        <w:t xml:space="preserve">5.  Not included in this engagement</w:t>
      </w:r>
    </w:p>
    <w:p>
      <w:pPr>
        <w:spacing w:after="120" w:line="276"/>
      </w:pPr>
      <w:r>
        <w:rPr>
          <w:rFonts w:ascii="Calibri" w:cs="Calibri" w:eastAsia="Calibri" w:hAnsi="Calibri"/>
          <w:color w:val="1A1713"/>
          <w:sz w:val="21"/>
          <w:szCs w:val="21"/>
        </w:rPr>
        <w:t xml:space="preserve">The following are expressly excluded. They may be delivered under a separate agreement if the Division wishes to proceed with them.</w:t>
      </w:r>
    </w:p>
    <w:p>
      <w:pPr>
        <w:pStyle w:val="ListParagraph"/>
        <w:numPr>
          <w:ilvl w:val="0"/>
          <w:numId w:val="2"/>
        </w:numPr>
        <w:spacing w:after="80" w:line="276"/>
      </w:pPr>
      <w:r>
        <w:rPr>
          <w:rFonts w:ascii="Calibri" w:cs="Calibri" w:eastAsia="Calibri" w:hAnsi="Calibri"/>
          <w:color w:val="1A1713"/>
          <w:sz w:val="21"/>
          <w:szCs w:val="21"/>
        </w:rPr>
        <w:t xml:space="preserve">Buyer and seller rating and review functionality.</w:t>
      </w:r>
    </w:p>
    <w:p>
      <w:pPr>
        <w:pStyle w:val="ListParagraph"/>
        <w:numPr>
          <w:ilvl w:val="0"/>
          <w:numId w:val="2"/>
        </w:numPr>
        <w:spacing w:after="80" w:line="276"/>
      </w:pPr>
      <w:r>
        <w:rPr>
          <w:rFonts w:ascii="Calibri" w:cs="Calibri" w:eastAsia="Calibri" w:hAnsi="Calibri"/>
          <w:color w:val="1A1713"/>
          <w:sz w:val="21"/>
          <w:szCs w:val="21"/>
        </w:rPr>
        <w:t xml:space="preserve">Direct messaging between buyers and sellers.</w:t>
      </w:r>
    </w:p>
    <w:p>
      <w:pPr>
        <w:pStyle w:val="ListParagraph"/>
        <w:numPr>
          <w:ilvl w:val="0"/>
          <w:numId w:val="2"/>
        </w:numPr>
        <w:spacing w:after="80" w:line="276"/>
      </w:pPr>
      <w:r>
        <w:rPr>
          <w:rFonts w:ascii="Calibri" w:cs="Calibri" w:eastAsia="Calibri" w:hAnsi="Calibri"/>
          <w:color w:val="1A1713"/>
          <w:sz w:val="21"/>
          <w:szCs w:val="21"/>
        </w:rPr>
        <w:t xml:space="preserve">Native Android or iOS applications (the platform is a web application, installable to a phone home screen).</w:t>
      </w:r>
    </w:p>
    <w:p>
      <w:pPr>
        <w:pStyle w:val="ListParagraph"/>
        <w:numPr>
          <w:ilvl w:val="0"/>
          <w:numId w:val="2"/>
        </w:numPr>
        <w:spacing w:after="80" w:line="276"/>
      </w:pPr>
      <w:r>
        <w:rPr>
          <w:rFonts w:ascii="Calibri" w:cs="Calibri" w:eastAsia="Calibri" w:hAnsi="Calibri"/>
          <w:color w:val="1A1713"/>
          <w:sz w:val="21"/>
          <w:szCs w:val="21"/>
        </w:rPr>
        <w:t xml:space="preserve">Integration of utility payments such as electricity tokens or mobile credit.</w:t>
      </w:r>
    </w:p>
    <w:p>
      <w:pPr>
        <w:pStyle w:val="ListParagraph"/>
        <w:numPr>
          <w:ilvl w:val="0"/>
          <w:numId w:val="2"/>
        </w:numPr>
        <w:spacing w:after="80" w:line="276"/>
      </w:pPr>
      <w:r>
        <w:rPr>
          <w:rFonts w:ascii="Calibri" w:cs="Calibri" w:eastAsia="Calibri" w:hAnsi="Calibri"/>
          <w:color w:val="1A1713"/>
          <w:sz w:val="21"/>
          <w:szCs w:val="21"/>
        </w:rPr>
        <w:t xml:space="preserve">Delivery or logistics management beyond recording the buyer's chosen fulfilment method.</w:t>
      </w:r>
    </w:p>
    <w:p>
      <w:pPr>
        <w:pStyle w:val="ListParagraph"/>
        <w:numPr>
          <w:ilvl w:val="0"/>
          <w:numId w:val="2"/>
        </w:numPr>
        <w:spacing w:after="80" w:line="276"/>
      </w:pPr>
      <w:r>
        <w:rPr>
          <w:rFonts w:ascii="Calibri" w:cs="Calibri" w:eastAsia="Calibri" w:hAnsi="Calibri"/>
          <w:color w:val="1A1713"/>
          <w:sz w:val="21"/>
          <w:szCs w:val="21"/>
        </w:rPr>
        <w:t xml:space="preserve">Automated disbursement of payouts to seller bank accounts (the ledger is provided; the payment run remains a Division finance function).</w:t>
      </w:r>
    </w:p>
    <w:p>
      <w:pPr>
        <w:pStyle w:val="ListParagraph"/>
        <w:numPr>
          <w:ilvl w:val="0"/>
          <w:numId w:val="2"/>
        </w:numPr>
        <w:spacing w:after="80" w:line="276"/>
      </w:pPr>
      <w:r>
        <w:rPr>
          <w:rFonts w:ascii="Calibri" w:cs="Calibri" w:eastAsia="Calibri" w:hAnsi="Calibri"/>
          <w:color w:val="1A1713"/>
          <w:sz w:val="21"/>
          <w:szCs w:val="21"/>
        </w:rPr>
        <w:t xml:space="preserve">Photography of SME products, and physical field onboarding of sellers or agents.</w:t>
      </w:r>
    </w:p>
    <w:p>
      <w:pPr>
        <w:pStyle w:val="ListParagraph"/>
        <w:numPr>
          <w:ilvl w:val="0"/>
          <w:numId w:val="2"/>
        </w:numPr>
        <w:spacing w:after="80" w:line="276"/>
      </w:pPr>
      <w:r>
        <w:rPr>
          <w:rFonts w:ascii="Calibri" w:cs="Calibri" w:eastAsia="Calibri" w:hAnsi="Calibri"/>
          <w:color w:val="1A1713"/>
          <w:sz w:val="21"/>
          <w:szCs w:val="21"/>
        </w:rPr>
        <w:t xml:space="preserve">Ongoing operation, monitoring, support or maintenance after handover — see Section 10.</w:t>
      </w:r>
    </w:p>
    <w:p>
      <w:pPr>
        <w:pStyle w:val="Heading1"/>
        <w:spacing w:after="160" w:before="360"/>
      </w:pPr>
      <w:r>
        <w:rPr>
          <w:rFonts w:ascii="Calibri" w:cs="Calibri" w:eastAsia="Calibri" w:hAnsi="Calibri"/>
          <w:b/>
          <w:bCs/>
          <w:color w:val="800000"/>
          <w:sz w:val="30"/>
          <w:szCs w:val="30"/>
        </w:rPr>
        <w:t xml:space="preserve">6.  Professional fee</w:t>
      </w:r>
    </w:p>
    <w:p>
      <w:pPr>
        <w:spacing w:after="120" w:line="276"/>
      </w:pPr>
      <w:r>
        <w:rPr>
          <w:rFonts w:ascii="Calibri" w:cs="Calibri" w:eastAsia="Calibri" w:hAnsi="Calibri"/>
          <w:color w:val="1A1713"/>
          <w:sz w:val="21"/>
          <w:szCs w:val="21"/>
        </w:rPr>
        <w:t xml:space="preserve">The professional fee for the scope of work described in Section 4 is:</w:t>
      </w:r>
    </w:p>
    <w:p>
      <w:pPr>
        <w:spacing w:after="180" w:before="100"/>
      </w:pPr>
      <w:r>
        <w:rPr>
          <w:rFonts w:ascii="Calibri" w:cs="Calibri" w:eastAsia="Calibri" w:hAnsi="Calibri"/>
          <w:b/>
          <w:bCs/>
          <w:color w:val="800000"/>
          <w:sz w:val="40"/>
          <w:szCs w:val="40"/>
        </w:rPr>
        <w:t xml:space="preserve">K20,000.00</w:t>
      </w:r>
    </w:p>
    <w:p>
      <w:pPr>
        <w:spacing w:after="120" w:line="276"/>
      </w:pPr>
      <w:r>
        <w:rPr>
          <w:rFonts w:ascii="Calibri" w:cs="Calibri" w:eastAsia="Calibri" w:hAnsi="Calibri"/>
          <w:color w:val="1A1713"/>
          <w:sz w:val="21"/>
          <w:szCs w:val="21"/>
        </w:rPr>
        <w:t xml:space="preserve">This fee covers design, development, testing, deployment, documentation and one training session. It is a fixed fee for the stated scope.</w:t>
      </w:r>
    </w:p>
    <w:p>
      <w:pPr>
        <w:spacing w:after="120" w:line="276"/>
      </w:pPr>
      <w:r>
        <w:rPr>
          <w:rFonts w:ascii="Calibri" w:cs="Calibri" w:eastAsia="Calibri" w:hAnsi="Calibri"/>
          <w:b/>
          <w:bCs/>
          <w:color w:val="1A1713"/>
          <w:sz w:val="21"/>
          <w:szCs w:val="21"/>
        </w:rPr>
        <w:t xml:space="preserve">The fee does not include the third-party operating costs set out in Section 7, which are to be met by the Division directly.</w:t>
      </w:r>
    </w:p>
    <w:p>
      <w:pPr>
        <w:pStyle w:val="Heading2"/>
        <w:spacing w:after="120" w:before="260"/>
      </w:pPr>
      <w:r>
        <w:rPr>
          <w:rFonts w:ascii="Calibri" w:cs="Calibri" w:eastAsia="Calibri" w:hAnsi="Calibri"/>
          <w:b/>
          <w:bCs/>
          <w:color w:val="1A1713"/>
          <w:sz w:val="24"/>
          <w:szCs w:val="24"/>
        </w:rPr>
        <w:t xml:space="preserve">6.1  Payment schedule</w:t>
      </w:r>
    </w:p>
    <w:p>
      <w:pPr>
        <w:spacing w:after="120" w:line="276"/>
      </w:pPr>
      <w:r>
        <w:rPr>
          <w:rFonts w:ascii="Calibri" w:cs="Calibri" w:eastAsia="Calibri" w:hAnsi="Calibri"/>
          <w:color w:val="1A1713"/>
          <w:sz w:val="21"/>
          <w:szCs w:val="21"/>
        </w:rPr>
        <w:t xml:space="preserve">Payment is proposed against delivery milestones rather than as a single sum on completion:</w:t>
      </w:r>
    </w:p>
    <w:tbl>
      <w:tblPr>
        <w:tblW w:type="dxa" w:w="7900"/>
        <w:tblBorders>
          <w:top w:val="single" w:color="C9C2B2" w:sz="4"/>
          <w:left w:val="single" w:color="C9C2B2" w:sz="4"/>
          <w:bottom w:val="single" w:color="C9C2B2" w:sz="4"/>
          <w:right w:val="single" w:color="C9C2B2" w:sz="4"/>
          <w:insideH w:val="single" w:color="DDD7C9" w:sz="2"/>
          <w:insideV w:val="single" w:color="DDD7C9" w:sz="2"/>
        </w:tblBorders>
      </w:tblPr>
      <w:tblGrid>
        <w:gridCol w:w="700"/>
        <w:gridCol w:w="4200"/>
        <w:gridCol w:w="1400"/>
        <w:gridCol w:w="1600"/>
      </w:tblGrid>
      <w:tr>
        <w:tc>
          <w:tcPr>
            <w:tcW w:type="dxa" w:w="700"/>
            <w:shd w:fill="1A1713" w:color="auto" w:val="clear"/>
            <w:tcMar>
              <w:top w:type="dxa" w:w="90"/>
              <w:left w:type="dxa" w:w="120"/>
              <w:bottom w:type="dxa" w:w="90"/>
              <w:right w:type="dxa" w:w="120"/>
            </w:tcMar>
          </w:tcPr>
          <w:p>
            <w:pPr>
              <w:spacing w:after="0" w:line="260"/>
              <w:jc w:val="center"/>
            </w:pPr>
            <w:r>
              <w:rPr>
                <w:rFonts w:ascii="Calibri" w:cs="Calibri" w:eastAsia="Calibri" w:hAnsi="Calibri"/>
                <w:b/>
                <w:bCs/>
                <w:color w:val="FFFFFF"/>
                <w:sz w:val="20"/>
                <w:szCs w:val="20"/>
              </w:rPr>
              <w:t xml:space="preserve">#</w:t>
            </w:r>
          </w:p>
        </w:tc>
        <w:tc>
          <w:tcPr>
            <w:tcW w:type="dxa" w:w="4200"/>
            <w:shd w:fill="1A171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Milestone</w:t>
            </w:r>
          </w:p>
        </w:tc>
        <w:tc>
          <w:tcPr>
            <w:tcW w:type="dxa" w:w="1400"/>
            <w:shd w:fill="1A1713" w:color="auto" w:val="clear"/>
            <w:tcMar>
              <w:top w:type="dxa" w:w="90"/>
              <w:left w:type="dxa" w:w="120"/>
              <w:bottom w:type="dxa" w:w="90"/>
              <w:right w:type="dxa" w:w="120"/>
            </w:tcMar>
          </w:tcPr>
          <w:p>
            <w:pPr>
              <w:spacing w:after="0" w:line="260"/>
              <w:jc w:val="center"/>
            </w:pPr>
            <w:r>
              <w:rPr>
                <w:rFonts w:ascii="Calibri" w:cs="Calibri" w:eastAsia="Calibri" w:hAnsi="Calibri"/>
                <w:b/>
                <w:bCs/>
                <w:color w:val="FFFFFF"/>
                <w:sz w:val="20"/>
                <w:szCs w:val="20"/>
              </w:rPr>
              <w:t xml:space="preserve">Share</w:t>
            </w:r>
          </w:p>
        </w:tc>
        <w:tc>
          <w:tcPr>
            <w:tcW w:type="dxa" w:w="1600"/>
            <w:shd w:fill="1A1713" w:color="auto" w:val="clear"/>
            <w:tcMar>
              <w:top w:type="dxa" w:w="90"/>
              <w:left w:type="dxa" w:w="120"/>
              <w:bottom w:type="dxa" w:w="90"/>
              <w:right w:type="dxa" w:w="120"/>
            </w:tcMar>
          </w:tcPr>
          <w:p>
            <w:pPr>
              <w:spacing w:after="0" w:line="260"/>
              <w:jc w:val="right"/>
            </w:pPr>
            <w:r>
              <w:rPr>
                <w:rFonts w:ascii="Calibri" w:cs="Calibri" w:eastAsia="Calibri" w:hAnsi="Calibri"/>
                <w:b/>
                <w:bCs/>
                <w:color w:val="FFFFFF"/>
                <w:sz w:val="20"/>
                <w:szCs w:val="20"/>
              </w:rPr>
              <w:t xml:space="preserve">Amount</w:t>
            </w:r>
          </w:p>
        </w:tc>
      </w:tr>
      <w:tr>
        <w:tc>
          <w:tcPr>
            <w:tcW w:type="dxa" w:w="700"/>
            <w:tcMar>
              <w:top w:type="dxa" w:w="90"/>
              <w:left w:type="dxa" w:w="120"/>
              <w:bottom w:type="dxa" w:w="90"/>
              <w:right w:type="dxa" w:w="120"/>
            </w:tcMar>
          </w:tcPr>
          <w:p>
            <w:pPr>
              <w:spacing w:after="0" w:line="260"/>
              <w:jc w:val="center"/>
            </w:pPr>
            <w:r>
              <w:rPr>
                <w:rFonts w:ascii="Calibri" w:cs="Calibri" w:eastAsia="Calibri" w:hAnsi="Calibri"/>
                <w:b w:val="false"/>
                <w:bCs w:val="false"/>
                <w:color w:val="1A1713"/>
                <w:sz w:val="20"/>
                <w:szCs w:val="20"/>
              </w:rPr>
              <w:t xml:space="preserve">1</w:t>
            </w:r>
          </w:p>
        </w:tc>
        <w:tc>
          <w:tcPr>
            <w:tcW w:type="dxa" w:w="42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Commencement — on signature of this document</w:t>
            </w:r>
          </w:p>
        </w:tc>
        <w:tc>
          <w:tcPr>
            <w:tcW w:type="dxa" w:w="1400"/>
            <w:tcMar>
              <w:top w:type="dxa" w:w="90"/>
              <w:left w:type="dxa" w:w="120"/>
              <w:bottom w:type="dxa" w:w="90"/>
              <w:right w:type="dxa" w:w="120"/>
            </w:tcMar>
          </w:tcPr>
          <w:p>
            <w:pPr>
              <w:spacing w:after="0" w:line="260"/>
              <w:jc w:val="center"/>
            </w:pPr>
            <w:r>
              <w:rPr>
                <w:rFonts w:ascii="Calibri" w:cs="Calibri" w:eastAsia="Calibri" w:hAnsi="Calibri"/>
                <w:b w:val="false"/>
                <w:bCs w:val="false"/>
                <w:color w:val="1A1713"/>
                <w:sz w:val="20"/>
                <w:szCs w:val="20"/>
              </w:rPr>
              <w:t xml:space="preserve">30%</w:t>
            </w:r>
          </w:p>
        </w:tc>
        <w:tc>
          <w:tcPr>
            <w:tcW w:type="dxa" w:w="1600"/>
            <w:tcMar>
              <w:top w:type="dxa" w:w="90"/>
              <w:left w:type="dxa" w:w="120"/>
              <w:bottom w:type="dxa" w:w="90"/>
              <w:right w:type="dxa" w:w="120"/>
            </w:tcMar>
          </w:tcPr>
          <w:p>
            <w:pPr>
              <w:spacing w:after="0" w:line="260"/>
              <w:jc w:val="right"/>
            </w:pPr>
            <w:r>
              <w:rPr>
                <w:rFonts w:ascii="Calibri" w:cs="Calibri" w:eastAsia="Calibri" w:hAnsi="Calibri"/>
                <w:b w:val="false"/>
                <w:bCs w:val="false"/>
                <w:color w:val="1A1713"/>
                <w:sz w:val="20"/>
                <w:szCs w:val="20"/>
              </w:rPr>
              <w:t xml:space="preserve">K6,000.00</w:t>
            </w:r>
          </w:p>
        </w:tc>
      </w:tr>
      <w:tr>
        <w:tc>
          <w:tcPr>
            <w:tcW w:type="dxa" w:w="700"/>
            <w:shd w:fill="F7F4EC" w:color="auto" w:val="clear"/>
            <w:tcMar>
              <w:top w:type="dxa" w:w="90"/>
              <w:left w:type="dxa" w:w="120"/>
              <w:bottom w:type="dxa" w:w="90"/>
              <w:right w:type="dxa" w:w="120"/>
            </w:tcMar>
          </w:tcPr>
          <w:p>
            <w:pPr>
              <w:spacing w:after="0" w:line="260"/>
              <w:jc w:val="center"/>
            </w:pPr>
            <w:r>
              <w:rPr>
                <w:rFonts w:ascii="Calibri" w:cs="Calibri" w:eastAsia="Calibri" w:hAnsi="Calibri"/>
                <w:b w:val="false"/>
                <w:bCs w:val="false"/>
                <w:color w:val="1A1713"/>
                <w:sz w:val="20"/>
                <w:szCs w:val="20"/>
              </w:rPr>
              <w:t xml:space="preserve">2</w:t>
            </w:r>
          </w:p>
        </w:tc>
        <w:tc>
          <w:tcPr>
            <w:tcW w:type="dxa" w:w="42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Marketplace and seller portal delivered and demonstrable, populated with real SME data</w:t>
            </w:r>
          </w:p>
        </w:tc>
        <w:tc>
          <w:tcPr>
            <w:tcW w:type="dxa" w:w="1400"/>
            <w:shd w:fill="F7F4EC" w:color="auto" w:val="clear"/>
            <w:tcMar>
              <w:top w:type="dxa" w:w="90"/>
              <w:left w:type="dxa" w:w="120"/>
              <w:bottom w:type="dxa" w:w="90"/>
              <w:right w:type="dxa" w:w="120"/>
            </w:tcMar>
          </w:tcPr>
          <w:p>
            <w:pPr>
              <w:spacing w:after="0" w:line="260"/>
              <w:jc w:val="center"/>
            </w:pPr>
            <w:r>
              <w:rPr>
                <w:rFonts w:ascii="Calibri" w:cs="Calibri" w:eastAsia="Calibri" w:hAnsi="Calibri"/>
                <w:b w:val="false"/>
                <w:bCs w:val="false"/>
                <w:color w:val="1A1713"/>
                <w:sz w:val="20"/>
                <w:szCs w:val="20"/>
              </w:rPr>
              <w:t xml:space="preserve">30%</w:t>
            </w:r>
          </w:p>
        </w:tc>
        <w:tc>
          <w:tcPr>
            <w:tcW w:type="dxa" w:w="1600"/>
            <w:shd w:fill="F7F4EC" w:color="auto" w:val="clear"/>
            <w:tcMar>
              <w:top w:type="dxa" w:w="90"/>
              <w:left w:type="dxa" w:w="120"/>
              <w:bottom w:type="dxa" w:w="90"/>
              <w:right w:type="dxa" w:w="120"/>
            </w:tcMar>
          </w:tcPr>
          <w:p>
            <w:pPr>
              <w:spacing w:after="0" w:line="260"/>
              <w:jc w:val="right"/>
            </w:pPr>
            <w:r>
              <w:rPr>
                <w:rFonts w:ascii="Calibri" w:cs="Calibri" w:eastAsia="Calibri" w:hAnsi="Calibri"/>
                <w:b w:val="false"/>
                <w:bCs w:val="false"/>
                <w:color w:val="1A1713"/>
                <w:sz w:val="20"/>
                <w:szCs w:val="20"/>
              </w:rPr>
              <w:t xml:space="preserve">K6,000.00</w:t>
            </w:r>
          </w:p>
        </w:tc>
      </w:tr>
      <w:tr>
        <w:tc>
          <w:tcPr>
            <w:tcW w:type="dxa" w:w="700"/>
            <w:tcMar>
              <w:top w:type="dxa" w:w="90"/>
              <w:left w:type="dxa" w:w="120"/>
              <w:bottom w:type="dxa" w:w="90"/>
              <w:right w:type="dxa" w:w="120"/>
            </w:tcMar>
          </w:tcPr>
          <w:p>
            <w:pPr>
              <w:spacing w:after="0" w:line="260"/>
              <w:jc w:val="center"/>
            </w:pPr>
            <w:r>
              <w:rPr>
                <w:rFonts w:ascii="Calibri" w:cs="Calibri" w:eastAsia="Calibri" w:hAnsi="Calibri"/>
                <w:b w:val="false"/>
                <w:bCs w:val="false"/>
                <w:color w:val="1A1713"/>
                <w:sz w:val="20"/>
                <w:szCs w:val="20"/>
              </w:rPr>
              <w:t xml:space="preserve">3</w:t>
            </w:r>
          </w:p>
        </w:tc>
        <w:tc>
          <w:tcPr>
            <w:tcW w:type="dxa" w:w="42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Payment integration live, with a successful end-to-end test transaction</w:t>
            </w:r>
          </w:p>
        </w:tc>
        <w:tc>
          <w:tcPr>
            <w:tcW w:type="dxa" w:w="1400"/>
            <w:tcMar>
              <w:top w:type="dxa" w:w="90"/>
              <w:left w:type="dxa" w:w="120"/>
              <w:bottom w:type="dxa" w:w="90"/>
              <w:right w:type="dxa" w:w="120"/>
            </w:tcMar>
          </w:tcPr>
          <w:p>
            <w:pPr>
              <w:spacing w:after="0" w:line="260"/>
              <w:jc w:val="center"/>
            </w:pPr>
            <w:r>
              <w:rPr>
                <w:rFonts w:ascii="Calibri" w:cs="Calibri" w:eastAsia="Calibri" w:hAnsi="Calibri"/>
                <w:b w:val="false"/>
                <w:bCs w:val="false"/>
                <w:color w:val="1A1713"/>
                <w:sz w:val="20"/>
                <w:szCs w:val="20"/>
              </w:rPr>
              <w:t xml:space="preserve">30%</w:t>
            </w:r>
          </w:p>
        </w:tc>
        <w:tc>
          <w:tcPr>
            <w:tcW w:type="dxa" w:w="1600"/>
            <w:tcMar>
              <w:top w:type="dxa" w:w="90"/>
              <w:left w:type="dxa" w:w="120"/>
              <w:bottom w:type="dxa" w:w="90"/>
              <w:right w:type="dxa" w:w="120"/>
            </w:tcMar>
          </w:tcPr>
          <w:p>
            <w:pPr>
              <w:spacing w:after="0" w:line="260"/>
              <w:jc w:val="right"/>
            </w:pPr>
            <w:r>
              <w:rPr>
                <w:rFonts w:ascii="Calibri" w:cs="Calibri" w:eastAsia="Calibri" w:hAnsi="Calibri"/>
                <w:b w:val="false"/>
                <w:bCs w:val="false"/>
                <w:color w:val="1A1713"/>
                <w:sz w:val="20"/>
                <w:szCs w:val="20"/>
              </w:rPr>
              <w:t xml:space="preserve">K6,000.00</w:t>
            </w:r>
          </w:p>
        </w:tc>
      </w:tr>
      <w:tr>
        <w:tc>
          <w:tcPr>
            <w:tcW w:type="dxa" w:w="700"/>
            <w:shd w:fill="F7F4EC" w:color="auto" w:val="clear"/>
            <w:tcMar>
              <w:top w:type="dxa" w:w="90"/>
              <w:left w:type="dxa" w:w="120"/>
              <w:bottom w:type="dxa" w:w="90"/>
              <w:right w:type="dxa" w:w="120"/>
            </w:tcMar>
          </w:tcPr>
          <w:p>
            <w:pPr>
              <w:spacing w:after="0" w:line="260"/>
              <w:jc w:val="center"/>
            </w:pPr>
            <w:r>
              <w:rPr>
                <w:rFonts w:ascii="Calibri" w:cs="Calibri" w:eastAsia="Calibri" w:hAnsi="Calibri"/>
                <w:b w:val="false"/>
                <w:bCs w:val="false"/>
                <w:color w:val="1A1713"/>
                <w:sz w:val="20"/>
                <w:szCs w:val="20"/>
              </w:rPr>
              <w:t xml:space="preserve">4</w:t>
            </w:r>
          </w:p>
        </w:tc>
        <w:tc>
          <w:tcPr>
            <w:tcW w:type="dxa" w:w="42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Final handover — documentation, training delivered, accounts transferred</w:t>
            </w:r>
          </w:p>
        </w:tc>
        <w:tc>
          <w:tcPr>
            <w:tcW w:type="dxa" w:w="1400"/>
            <w:shd w:fill="F7F4EC" w:color="auto" w:val="clear"/>
            <w:tcMar>
              <w:top w:type="dxa" w:w="90"/>
              <w:left w:type="dxa" w:w="120"/>
              <w:bottom w:type="dxa" w:w="90"/>
              <w:right w:type="dxa" w:w="120"/>
            </w:tcMar>
          </w:tcPr>
          <w:p>
            <w:pPr>
              <w:spacing w:after="0" w:line="260"/>
              <w:jc w:val="center"/>
            </w:pPr>
            <w:r>
              <w:rPr>
                <w:rFonts w:ascii="Calibri" w:cs="Calibri" w:eastAsia="Calibri" w:hAnsi="Calibri"/>
                <w:b w:val="false"/>
                <w:bCs w:val="false"/>
                <w:color w:val="1A1713"/>
                <w:sz w:val="20"/>
                <w:szCs w:val="20"/>
              </w:rPr>
              <w:t xml:space="preserve">10%</w:t>
            </w:r>
          </w:p>
        </w:tc>
        <w:tc>
          <w:tcPr>
            <w:tcW w:type="dxa" w:w="1600"/>
            <w:shd w:fill="F7F4EC" w:color="auto" w:val="clear"/>
            <w:tcMar>
              <w:top w:type="dxa" w:w="90"/>
              <w:left w:type="dxa" w:w="120"/>
              <w:bottom w:type="dxa" w:w="90"/>
              <w:right w:type="dxa" w:w="120"/>
            </w:tcMar>
          </w:tcPr>
          <w:p>
            <w:pPr>
              <w:spacing w:after="0" w:line="260"/>
              <w:jc w:val="right"/>
            </w:pPr>
            <w:r>
              <w:rPr>
                <w:rFonts w:ascii="Calibri" w:cs="Calibri" w:eastAsia="Calibri" w:hAnsi="Calibri"/>
                <w:b w:val="false"/>
                <w:bCs w:val="false"/>
                <w:color w:val="1A1713"/>
                <w:sz w:val="20"/>
                <w:szCs w:val="20"/>
              </w:rPr>
              <w:t xml:space="preserve">K2,000.00</w:t>
            </w:r>
          </w:p>
        </w:tc>
      </w:tr>
      <w:tr>
        <w:tc>
          <w:tcPr>
            <w:tcW w:type="dxa" w:w="700"/>
            <w:shd w:fill="EFEADB"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
            </w:r>
          </w:p>
        </w:tc>
        <w:tc>
          <w:tcPr>
            <w:tcW w:type="dxa" w:w="4200"/>
            <w:shd w:fill="EFEADB" w:color="auto" w:val="clear"/>
            <w:tcMar>
              <w:top w:type="dxa" w:w="90"/>
              <w:left w:type="dxa" w:w="120"/>
              <w:bottom w:type="dxa" w:w="90"/>
              <w:right w:type="dxa" w:w="120"/>
            </w:tcMar>
          </w:tcPr>
          <w:p>
            <w:pPr>
              <w:spacing w:after="0" w:line="260"/>
              <w:jc w:val="left"/>
            </w:pPr>
            <w:r>
              <w:rPr>
                <w:rFonts w:ascii="Calibri" w:cs="Calibri" w:eastAsia="Calibri" w:hAnsi="Calibri"/>
                <w:b/>
                <w:bCs/>
                <w:color w:val="1A1713"/>
                <w:sz w:val="20"/>
                <w:szCs w:val="20"/>
              </w:rPr>
              <w:t xml:space="preserve">Total</w:t>
            </w:r>
          </w:p>
        </w:tc>
        <w:tc>
          <w:tcPr>
            <w:tcW w:type="dxa" w:w="1400"/>
            <w:shd w:fill="EFEADB" w:color="auto" w:val="clear"/>
            <w:tcMar>
              <w:top w:type="dxa" w:w="90"/>
              <w:left w:type="dxa" w:w="120"/>
              <w:bottom w:type="dxa" w:w="90"/>
              <w:right w:type="dxa" w:w="120"/>
            </w:tcMar>
          </w:tcPr>
          <w:p>
            <w:pPr>
              <w:spacing w:after="0" w:line="260"/>
              <w:jc w:val="center"/>
            </w:pPr>
            <w:r>
              <w:rPr>
                <w:rFonts w:ascii="Calibri" w:cs="Calibri" w:eastAsia="Calibri" w:hAnsi="Calibri"/>
                <w:b/>
                <w:bCs/>
                <w:color w:val="1A1713"/>
                <w:sz w:val="20"/>
                <w:szCs w:val="20"/>
              </w:rPr>
              <w:t xml:space="preserve">100%</w:t>
            </w:r>
          </w:p>
        </w:tc>
        <w:tc>
          <w:tcPr>
            <w:tcW w:type="dxa" w:w="1600"/>
            <w:shd w:fill="EFEADB" w:color="auto" w:val="clear"/>
            <w:tcMar>
              <w:top w:type="dxa" w:w="90"/>
              <w:left w:type="dxa" w:w="120"/>
              <w:bottom w:type="dxa" w:w="90"/>
              <w:right w:type="dxa" w:w="120"/>
            </w:tcMar>
          </w:tcPr>
          <w:p>
            <w:pPr>
              <w:spacing w:after="0" w:line="260"/>
              <w:jc w:val="right"/>
            </w:pPr>
            <w:r>
              <w:rPr>
                <w:rFonts w:ascii="Calibri" w:cs="Calibri" w:eastAsia="Calibri" w:hAnsi="Calibri"/>
                <w:b/>
                <w:bCs/>
                <w:color w:val="1A1713"/>
                <w:sz w:val="20"/>
                <w:szCs w:val="20"/>
              </w:rPr>
              <w:t xml:space="preserve">K20,000.00</w:t>
            </w:r>
          </w:p>
        </w:tc>
      </w:tr>
    </w:tbl>
    <w:p>
      <w:pPr>
        <w:spacing w:after="100"/>
      </w:pPr>
    </w:p>
    <w:p>
      <w:pPr>
        <w:spacing w:after="120" w:line="276"/>
      </w:pPr>
      <w:r>
        <w:rPr>
          <w:rFonts w:ascii="Calibri" w:cs="Calibri" w:eastAsia="Calibri" w:hAnsi="Calibri"/>
          <w:color w:val="5C5546"/>
          <w:sz w:val="21"/>
          <w:szCs w:val="21"/>
        </w:rPr>
        <w:t xml:space="preserve">Invoices are issued by Ready Digital Consultancy and are payable within thirty (30) days of issue.</w:t>
      </w:r>
    </w:p>
    <w:p>
      <w:pPr>
        <w:pStyle w:val="Heading1"/>
        <w:spacing w:after="160" w:before="360"/>
      </w:pPr>
      <w:r>
        <w:rPr>
          <w:rFonts w:ascii="Calibri" w:cs="Calibri" w:eastAsia="Calibri" w:hAnsi="Calibri"/>
          <w:b/>
          <w:bCs/>
          <w:color w:val="800000"/>
          <w:sz w:val="30"/>
          <w:szCs w:val="30"/>
        </w:rPr>
        <w:t xml:space="preserve">7.  Third-party operating costs (Division responsibility)</w:t>
      </w:r>
    </w:p>
    <w:p>
      <w:pPr>
        <w:spacing w:after="120" w:line="276"/>
      </w:pPr>
      <w:r>
        <w:rPr>
          <w:rFonts w:ascii="Calibri" w:cs="Calibri" w:eastAsia="Calibri" w:hAnsi="Calibri"/>
          <w:color w:val="1A1713"/>
          <w:sz w:val="21"/>
          <w:szCs w:val="21"/>
        </w:rPr>
        <w:t xml:space="preserve">The platform depends on external services which carry their own costs. These are ongoing costs of running the platform, not one-off costs of building it, and are to be budgeted and paid by the Division directly.</w:t>
      </w:r>
    </w:p>
    <w:tbl>
      <w:tblPr>
        <w:tblW w:type="dxa" w:w="8900"/>
        <w:tblBorders>
          <w:top w:val="single" w:color="C9C2B2" w:sz="4"/>
          <w:left w:val="single" w:color="C9C2B2" w:sz="4"/>
          <w:bottom w:val="single" w:color="C9C2B2" w:sz="4"/>
          <w:right w:val="single" w:color="C9C2B2" w:sz="4"/>
          <w:insideH w:val="single" w:color="DDD7C9" w:sz="2"/>
          <w:insideV w:val="single" w:color="DDD7C9" w:sz="2"/>
        </w:tblBorders>
      </w:tblPr>
      <w:tblGrid>
        <w:gridCol w:w="2600"/>
        <w:gridCol w:w="2000"/>
        <w:gridCol w:w="4300"/>
      </w:tblGrid>
      <w:tr>
        <w:tc>
          <w:tcPr>
            <w:tcW w:type="dxa" w:w="2600"/>
            <w:shd w:fill="1A171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Item</w:t>
            </w:r>
          </w:p>
        </w:tc>
        <w:tc>
          <w:tcPr>
            <w:tcW w:type="dxa" w:w="2000"/>
            <w:shd w:fill="1A171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Indicative cost</w:t>
            </w:r>
          </w:p>
        </w:tc>
        <w:tc>
          <w:tcPr>
            <w:tcW w:type="dxa" w:w="4300"/>
            <w:shd w:fill="1A1713" w:color="auto" w:val="clear"/>
            <w:tcMar>
              <w:top w:type="dxa" w:w="90"/>
              <w:left w:type="dxa" w:w="120"/>
              <w:bottom w:type="dxa" w:w="90"/>
              <w:right w:type="dxa" w:w="120"/>
            </w:tcMar>
          </w:tcPr>
          <w:p>
            <w:pPr>
              <w:spacing w:after="0" w:line="260"/>
              <w:jc w:val="left"/>
            </w:pPr>
            <w:r>
              <w:rPr>
                <w:rFonts w:ascii="Calibri" w:cs="Calibri" w:eastAsia="Calibri" w:hAnsi="Calibri"/>
                <w:b/>
                <w:bCs/>
                <w:color w:val="FFFFFF"/>
                <w:sz w:val="20"/>
                <w:szCs w:val="20"/>
              </w:rPr>
              <w:t xml:space="preserve">Notes</w:t>
            </w:r>
          </w:p>
        </w:tc>
      </w:tr>
      <w:tr>
        <w:tc>
          <w:tcPr>
            <w:tcW w:type="dxa" w:w="26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.com.pg domain — registration</w:t>
            </w:r>
          </w:p>
        </w:tc>
        <w:tc>
          <w:tcPr>
            <w:tcW w:type="dxa" w:w="20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K300 once</w:t>
            </w:r>
          </w:p>
        </w:tc>
        <w:tc>
          <w:tcPr>
            <w:tcW w:type="dxa" w:w="43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Registered through PNG University of Technology, the sole .pg registry. Requires proof of local presence.</w:t>
            </w:r>
          </w:p>
        </w:tc>
      </w:tr>
      <w:tr>
        <w:tc>
          <w:tcPr>
            <w:tcW w:type="dxa" w:w="26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.com.pg domain — renewal</w:t>
            </w:r>
          </w:p>
        </w:tc>
        <w:tc>
          <w:tcPr>
            <w:tcW w:type="dxa" w:w="20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K100 / 2 years</w:t>
            </w:r>
          </w:p>
        </w:tc>
        <w:tc>
          <w:tcPr>
            <w:tcW w:type="dxa" w:w="43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Ongoing. Lapse of renewal takes the site offline.</w:t>
            </w:r>
          </w:p>
        </w:tc>
      </w:tr>
      <w:tr>
        <w:tc>
          <w:tcPr>
            <w:tcW w:type="dxa" w:w="26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Database and file hosting</w:t>
            </w:r>
          </w:p>
        </w:tc>
        <w:tc>
          <w:tcPr>
            <w:tcW w:type="dxa" w:w="20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Approx. USD 25 / month</w:t>
            </w:r>
          </w:p>
        </w:tc>
        <w:tc>
          <w:tcPr>
            <w:tcW w:type="dxa" w:w="43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A paid tier is required for production. Free tiers suspend inactive projects and provide no backups.</w:t>
            </w:r>
          </w:p>
        </w:tc>
      </w:tr>
      <w:tr>
        <w:tc>
          <w:tcPr>
            <w:tcW w:type="dxa" w:w="26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Website hosting</w:t>
            </w:r>
          </w:p>
        </w:tc>
        <w:tc>
          <w:tcPr>
            <w:tcW w:type="dxa" w:w="20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Nil initially</w:t>
            </w:r>
          </w:p>
        </w:tc>
        <w:tc>
          <w:tcPr>
            <w:tcW w:type="dxa" w:w="43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Static hosting is available at no cost at expected launch volumes.</w:t>
            </w:r>
          </w:p>
        </w:tc>
      </w:tr>
      <w:tr>
        <w:tc>
          <w:tcPr>
            <w:tcW w:type="dxa" w:w="26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Payment gateway — setup</w:t>
            </w:r>
          </w:p>
        </w:tc>
        <w:tc>
          <w:tcPr>
            <w:tcW w:type="dxa" w:w="20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To be advised</w:t>
            </w:r>
          </w:p>
        </w:tc>
        <w:tc>
          <w:tcPr>
            <w:tcW w:type="dxa" w:w="43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Quotation pending from prospective providers. Not yet known.</w:t>
            </w:r>
          </w:p>
        </w:tc>
      </w:tr>
      <w:tr>
        <w:tc>
          <w:tcPr>
            <w:tcW w:type="dxa" w:w="26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Payment gateway — per transaction</w:t>
            </w:r>
          </w:p>
        </w:tc>
        <w:tc>
          <w:tcPr>
            <w:tcW w:type="dxa" w:w="20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To be advised</w:t>
            </w:r>
          </w:p>
        </w:tc>
        <w:tc>
          <w:tcPr>
            <w:tcW w:type="dxa" w:w="43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Deducted from each sale. A commission rate should not be set until this is known.</w:t>
            </w:r>
          </w:p>
        </w:tc>
      </w:tr>
      <w:tr>
        <w:tc>
          <w:tcPr>
            <w:tcW w:type="dxa" w:w="26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SMS notifications</w:t>
            </w:r>
          </w:p>
        </w:tc>
        <w:tc>
          <w:tcPr>
            <w:tcW w:type="dxa" w:w="20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To be advised</w:t>
            </w:r>
          </w:p>
        </w:tc>
        <w:tc>
          <w:tcPr>
            <w:tcW w:type="dxa" w:w="4300"/>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Charged per message and scales with order volume. Quotation required.</w:t>
            </w:r>
          </w:p>
        </w:tc>
      </w:tr>
      <w:tr>
        <w:tc>
          <w:tcPr>
            <w:tcW w:type="dxa" w:w="26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Bank transfer fees on payouts</w:t>
            </w:r>
          </w:p>
        </w:tc>
        <w:tc>
          <w:tcPr>
            <w:tcW w:type="dxa" w:w="20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Per transfer</w:t>
            </w:r>
          </w:p>
        </w:tc>
        <w:tc>
          <w:tcPr>
            <w:tcW w:type="dxa" w:w="4300"/>
            <w:shd w:fill="F7F4EC" w:color="auto" w:val="clear"/>
            <w:tcMar>
              <w:top w:type="dxa" w:w="90"/>
              <w:left w:type="dxa" w:w="120"/>
              <w:bottom w:type="dxa" w:w="90"/>
              <w:right w:type="dxa" w:w="120"/>
            </w:tcMar>
          </w:tcPr>
          <w:p>
            <w:pPr>
              <w:spacing w:after="0" w:line="260"/>
              <w:jc w:val="left"/>
            </w:pPr>
            <w:r>
              <w:rPr>
                <w:rFonts w:ascii="Calibri" w:cs="Calibri" w:eastAsia="Calibri" w:hAnsi="Calibri"/>
                <w:b w:val="false"/>
                <w:bCs w:val="false"/>
                <w:color w:val="1A1713"/>
                <w:sz w:val="20"/>
                <w:szCs w:val="20"/>
              </w:rPr>
              <w:t xml:space="preserve">Incurred each time sellers are paid. Less frequent payout runs reduce total cost.</w:t>
            </w:r>
          </w:p>
        </w:tc>
      </w:tr>
    </w:tbl>
    <w:p>
      <w:pPr>
        <w:spacing w:after="120"/>
      </w:pPr>
    </w:p>
    <w:p>
      <w:pPr>
        <w:spacing w:after="120" w:line="276"/>
      </w:pPr>
      <w:r>
        <w:rPr>
          <w:rFonts w:ascii="Calibri" w:cs="Calibri" w:eastAsia="Calibri" w:hAnsi="Calibri"/>
          <w:i/>
          <w:iCs/>
          <w:color w:val="5C5546"/>
          <w:sz w:val="21"/>
          <w:szCs w:val="21"/>
        </w:rPr>
        <w:t xml:space="preserve">Items marked “to be advised” cannot be estimated reliably until the relevant providers respond. They are identified here so that they are not overlooked in budgeting.</w:t>
      </w:r>
    </w:p>
    <w:p>
      <w:pPr>
        <w:pStyle w:val="Heading1"/>
        <w:spacing w:after="160" w:before="360"/>
      </w:pPr>
      <w:r>
        <w:rPr>
          <w:rFonts w:ascii="Calibri" w:cs="Calibri" w:eastAsia="Calibri" w:hAnsi="Calibri"/>
          <w:b/>
          <w:bCs/>
          <w:color w:val="800000"/>
          <w:sz w:val="30"/>
          <w:szCs w:val="30"/>
        </w:rPr>
        <w:t xml:space="preserve">8.  Division responsibilities and dependencies</w:t>
      </w:r>
    </w:p>
    <w:p>
      <w:pPr>
        <w:spacing w:after="120" w:line="276"/>
      </w:pPr>
      <w:r>
        <w:rPr>
          <w:rFonts w:ascii="Calibri" w:cs="Calibri" w:eastAsia="Calibri" w:hAnsi="Calibri"/>
          <w:color w:val="1A1713"/>
          <w:sz w:val="21"/>
          <w:szCs w:val="21"/>
        </w:rPr>
        <w:t xml:space="preserve">Delivery of this project depends on inputs that only the Division can provide or authorise. Delay in any of the following will delay the corresponding milestone, through no fault of the Consultancy.</w:t>
      </w:r>
    </w:p>
    <w:p>
      <w:pPr>
        <w:pStyle w:val="ListParagraph"/>
        <w:numPr>
          <w:ilvl w:val="0"/>
          <w:numId w:val="2"/>
        </w:numPr>
        <w:spacing w:after="80" w:line="276"/>
      </w:pPr>
      <w:r>
        <w:rPr>
          <w:rFonts w:ascii="Calibri" w:cs="Calibri" w:eastAsia="Calibri" w:hAnsi="Calibri"/>
          <w:color w:val="1A1713"/>
          <w:sz w:val="21"/>
          <w:szCs w:val="21"/>
        </w:rPr>
        <w:t xml:space="preserve">Appointment of a single officer authorised to give directions and approve deliverables on the Division's behalf.</w:t>
      </w:r>
    </w:p>
    <w:p>
      <w:pPr>
        <w:pStyle w:val="ListParagraph"/>
        <w:numPr>
          <w:ilvl w:val="0"/>
          <w:numId w:val="2"/>
        </w:numPr>
        <w:spacing w:after="80" w:line="276"/>
      </w:pPr>
      <w:r>
        <w:rPr>
          <w:rFonts w:ascii="Calibri" w:cs="Calibri" w:eastAsia="Calibri" w:hAnsi="Calibri"/>
          <w:color w:val="1A1713"/>
          <w:sz w:val="21"/>
          <w:szCs w:val="21"/>
        </w:rPr>
        <w:t xml:space="preserve">Approval and payment of the .com.pg domain registration, and of the operating costs in Section 7.</w:t>
      </w:r>
    </w:p>
    <w:p>
      <w:pPr>
        <w:pStyle w:val="ListParagraph"/>
        <w:numPr>
          <w:ilvl w:val="0"/>
          <w:numId w:val="2"/>
        </w:numPr>
        <w:spacing w:after="80" w:line="276"/>
      </w:pPr>
      <w:r>
        <w:rPr>
          <w:rFonts w:ascii="Calibri" w:cs="Calibri" w:eastAsia="Calibri" w:hAnsi="Calibri"/>
          <w:color w:val="1A1713"/>
          <w:sz w:val="21"/>
          <w:szCs w:val="21"/>
        </w:rPr>
        <w:t xml:space="preserve">Application for, and approval of, a merchant facility with a Papua New Guinean payment gateway, including provision of the resulting integration credentials and documentation. The Consultancy can prepare the application but cannot lodge or approve it.</w:t>
      </w:r>
    </w:p>
    <w:p>
      <w:pPr>
        <w:pStyle w:val="ListParagraph"/>
        <w:numPr>
          <w:ilvl w:val="0"/>
          <w:numId w:val="2"/>
        </w:numPr>
        <w:spacing w:after="80" w:line="276"/>
      </w:pPr>
      <w:r>
        <w:rPr>
          <w:rFonts w:ascii="Calibri" w:cs="Calibri" w:eastAsia="Calibri" w:hAnsi="Calibri"/>
          <w:color w:val="1A1713"/>
          <w:sz w:val="21"/>
          <w:szCs w:val="21"/>
        </w:rPr>
        <w:t xml:space="preserve">Confirmation of the final platform name, and provision of official logo files and approved institutional wording.</w:t>
      </w:r>
    </w:p>
    <w:p>
      <w:pPr>
        <w:pStyle w:val="ListParagraph"/>
        <w:numPr>
          <w:ilvl w:val="0"/>
          <w:numId w:val="2"/>
        </w:numPr>
        <w:spacing w:after="80" w:line="276"/>
      </w:pPr>
      <w:r>
        <w:rPr>
          <w:rFonts w:ascii="Calibri" w:cs="Calibri" w:eastAsia="Calibri" w:hAnsi="Calibri"/>
          <w:color w:val="1A1713"/>
          <w:sz w:val="21"/>
          <w:szCs w:val="21"/>
        </w:rPr>
        <w:t xml:space="preserve">Recruitment of the initial cohort of SMEs, and provision of their business details, product information and product photographs.</w:t>
      </w:r>
    </w:p>
    <w:p>
      <w:pPr>
        <w:pStyle w:val="ListParagraph"/>
        <w:numPr>
          <w:ilvl w:val="0"/>
          <w:numId w:val="2"/>
        </w:numPr>
        <w:spacing w:after="80" w:line="276"/>
      </w:pPr>
      <w:r>
        <w:rPr>
          <w:rFonts w:ascii="Calibri" w:cs="Calibri" w:eastAsia="Calibri" w:hAnsi="Calibri"/>
          <w:color w:val="1A1713"/>
          <w:sz w:val="21"/>
          <w:szCs w:val="21"/>
        </w:rPr>
        <w:t xml:space="preserve">A decision on whether informal (non-IPA-registered) producers may sell on the platform, and if so on what basis.</w:t>
      </w:r>
    </w:p>
    <w:p>
      <w:pPr>
        <w:pStyle w:val="ListParagraph"/>
        <w:numPr>
          <w:ilvl w:val="0"/>
          <w:numId w:val="2"/>
        </w:numPr>
        <w:spacing w:after="80" w:line="276"/>
      </w:pPr>
      <w:r>
        <w:rPr>
          <w:rFonts w:ascii="Calibri" w:cs="Calibri" w:eastAsia="Calibri" w:hAnsi="Calibri"/>
          <w:color w:val="1A1713"/>
          <w:sz w:val="21"/>
          <w:szCs w:val="21"/>
        </w:rPr>
        <w:t xml:space="preserve">A decision on the platform commission rate to be charged to sellers.</w:t>
      </w:r>
    </w:p>
    <w:p>
      <w:pPr>
        <w:pStyle w:val="ListParagraph"/>
        <w:numPr>
          <w:ilvl w:val="0"/>
          <w:numId w:val="2"/>
        </w:numPr>
        <w:spacing w:after="80" w:line="276"/>
      </w:pPr>
      <w:r>
        <w:rPr>
          <w:rFonts w:ascii="Calibri" w:cs="Calibri" w:eastAsia="Calibri" w:hAnsi="Calibri"/>
          <w:color w:val="1A1713"/>
          <w:sz w:val="21"/>
          <w:szCs w:val="21"/>
        </w:rPr>
        <w:t xml:space="preserve">Nomination of the staff who will carry out seller approval and listing review on an ongoing basis after launch.</w:t>
      </w:r>
    </w:p>
    <w:p>
      <w:pPr>
        <w:pStyle w:val="Heading2"/>
        <w:spacing w:after="120" w:before="260"/>
      </w:pPr>
      <w:r>
        <w:rPr>
          <w:rFonts w:ascii="Calibri" w:cs="Calibri" w:eastAsia="Calibri" w:hAnsi="Calibri"/>
          <w:b/>
          <w:bCs/>
          <w:color w:val="1A1713"/>
          <w:sz w:val="24"/>
          <w:szCs w:val="24"/>
        </w:rPr>
        <w:t xml:space="preserve">8.1  Note on timing</w:t>
      </w:r>
    </w:p>
    <w:p>
      <w:pPr>
        <w:spacing w:after="120" w:line="276"/>
      </w:pPr>
      <w:r>
        <w:rPr>
          <w:rFonts w:ascii="Calibri" w:cs="Calibri" w:eastAsia="Calibri" w:hAnsi="Calibri"/>
          <w:color w:val="1A1713"/>
          <w:sz w:val="21"/>
          <w:szCs w:val="21"/>
        </w:rPr>
        <w:t xml:space="preserve">No completion date is given in this document. The two items on the critical path — payment gateway approval and domain registration — are decided by third parties on their own timescales. A delivery programme can be issued once the gateway application is lodged and an indication of processing time is received.</w:t>
      </w:r>
    </w:p>
    <w:p>
      <w:pPr>
        <w:pStyle w:val="Heading1"/>
        <w:spacing w:after="160" w:before="360"/>
      </w:pPr>
      <w:r>
        <w:rPr>
          <w:rFonts w:ascii="Calibri" w:cs="Calibri" w:eastAsia="Calibri" w:hAnsi="Calibri"/>
          <w:b/>
          <w:bCs/>
          <w:color w:val="800000"/>
          <w:sz w:val="30"/>
          <w:szCs w:val="30"/>
        </w:rPr>
        <w:t xml:space="preserve">9.  Variations to scope</w:t>
      </w:r>
    </w:p>
    <w:p>
      <w:pPr>
        <w:spacing w:after="120" w:line="276"/>
      </w:pPr>
      <w:r>
        <w:rPr>
          <w:rFonts w:ascii="Calibri" w:cs="Calibri" w:eastAsia="Calibri" w:hAnsi="Calibri"/>
          <w:color w:val="1A1713"/>
          <w:sz w:val="21"/>
          <w:szCs w:val="21"/>
        </w:rPr>
        <w:t xml:space="preserve">Requests for functionality not listed in Section 4 will be recorded in writing, assessed for effort, and quoted separately. Work on a variation begins only after written acceptance of that quotation.</w:t>
      </w:r>
    </w:p>
    <w:p>
      <w:pPr>
        <w:spacing w:after="120" w:line="276"/>
      </w:pPr>
      <w:r>
        <w:rPr>
          <w:rFonts w:ascii="Calibri" w:cs="Calibri" w:eastAsia="Calibri" w:hAnsi="Calibri"/>
          <w:color w:val="1A1713"/>
          <w:sz w:val="21"/>
          <w:szCs w:val="21"/>
        </w:rPr>
        <w:t xml:space="preserve">Minor adjustments — wording, colours, layout refinements, corrections to product data — are not treated as variations and are absorbed within the fee.</w:t>
      </w:r>
    </w:p>
    <w:p>
      <w:pPr>
        <w:pStyle w:val="Heading1"/>
        <w:spacing w:after="160" w:before="360"/>
      </w:pPr>
      <w:r>
        <w:rPr>
          <w:rFonts w:ascii="Calibri" w:cs="Calibri" w:eastAsia="Calibri" w:hAnsi="Calibri"/>
          <w:b/>
          <w:bCs/>
          <w:color w:val="800000"/>
          <w:sz w:val="30"/>
          <w:szCs w:val="30"/>
        </w:rPr>
        <w:t xml:space="preserve">10.  Support after handover</w:t>
      </w:r>
    </w:p>
    <w:p>
      <w:pPr>
        <w:spacing w:after="120" w:line="276"/>
      </w:pPr>
      <w:r>
        <w:rPr>
          <w:rFonts w:ascii="Calibri" w:cs="Calibri" w:eastAsia="Calibri" w:hAnsi="Calibri"/>
          <w:color w:val="1A1713"/>
          <w:sz w:val="21"/>
          <w:szCs w:val="21"/>
        </w:rPr>
        <w:t xml:space="preserve">This engagement concludes at handover. It does not include ongoing operation of the platform.</w:t>
      </w:r>
    </w:p>
    <w:p>
      <w:pPr>
        <w:spacing w:after="120" w:line="276"/>
      </w:pPr>
      <w:r>
        <w:rPr>
          <w:rFonts w:ascii="Calibri" w:cs="Calibri" w:eastAsia="Calibri" w:hAnsi="Calibri"/>
          <w:color w:val="1A1713"/>
          <w:sz w:val="21"/>
          <w:szCs w:val="21"/>
        </w:rPr>
        <w:t xml:space="preserve">The Division should note that once live, the platform will process payments belonging to third-party SMEs. It therefore requires an identified person responsible for its day-to-day operation, and a defined arrangement for correcting faults. Neither is provided by this engagement.</w:t>
      </w:r>
    </w:p>
    <w:p>
      <w:pPr>
        <w:spacing w:after="120" w:line="276"/>
      </w:pPr>
      <w:r>
        <w:rPr>
          <w:rFonts w:ascii="Calibri" w:cs="Calibri" w:eastAsia="Calibri" w:hAnsi="Calibri"/>
          <w:color w:val="1A1713"/>
          <w:sz w:val="21"/>
          <w:szCs w:val="21"/>
        </w:rPr>
        <w:t xml:space="preserve">A defect liability period of thirty (30) days from handover is included, during which faults arising from the delivered work will be corrected at no charge. This covers defects in what was built; it does not cover new functionality, content changes, third-party service outages, or operational support.</w:t>
      </w:r>
    </w:p>
    <w:p>
      <w:pPr>
        <w:spacing w:after="120" w:line="276"/>
      </w:pPr>
      <w:r>
        <w:rPr>
          <w:rFonts w:ascii="Calibri" w:cs="Calibri" w:eastAsia="Calibri" w:hAnsi="Calibri"/>
          <w:b/>
          <w:bCs/>
          <w:color w:val="1A1713"/>
          <w:sz w:val="21"/>
          <w:szCs w:val="21"/>
        </w:rPr>
        <w:t xml:space="preserve">A separate ongoing support and maintenance agreement can be provided on request, and is recommended.</w:t>
      </w:r>
    </w:p>
    <w:p>
      <w:pPr>
        <w:pStyle w:val="Heading1"/>
        <w:spacing w:after="160" w:before="360"/>
      </w:pPr>
      <w:r>
        <w:rPr>
          <w:rFonts w:ascii="Calibri" w:cs="Calibri" w:eastAsia="Calibri" w:hAnsi="Calibri"/>
          <w:b/>
          <w:bCs/>
          <w:color w:val="800000"/>
          <w:sz w:val="30"/>
          <w:szCs w:val="30"/>
        </w:rPr>
        <w:t xml:space="preserve">11.  Ownership and intellectual property</w:t>
      </w:r>
    </w:p>
    <w:p>
      <w:pPr>
        <w:pStyle w:val="ListParagraph"/>
        <w:numPr>
          <w:ilvl w:val="0"/>
          <w:numId w:val="2"/>
        </w:numPr>
        <w:spacing w:after="80" w:line="276"/>
      </w:pPr>
      <w:r>
        <w:rPr>
          <w:rFonts w:ascii="Calibri" w:cs="Calibri" w:eastAsia="Calibri" w:hAnsi="Calibri"/>
          <w:color w:val="1A1713"/>
          <w:sz w:val="21"/>
          <w:szCs w:val="21"/>
        </w:rPr>
        <w:t xml:space="preserve">On payment of the final invoice in full, ownership of the platform source code, the hosting and database accounts, and the domain registration transfers to the Division.</w:t>
      </w:r>
    </w:p>
    <w:p>
      <w:pPr>
        <w:pStyle w:val="ListParagraph"/>
        <w:numPr>
          <w:ilvl w:val="0"/>
          <w:numId w:val="2"/>
        </w:numPr>
        <w:spacing w:after="80" w:line="276"/>
      </w:pPr>
      <w:r>
        <w:rPr>
          <w:rFonts w:ascii="Calibri" w:cs="Calibri" w:eastAsia="Calibri" w:hAnsi="Calibri"/>
          <w:color w:val="1A1713"/>
          <w:sz w:val="21"/>
          <w:szCs w:val="21"/>
        </w:rPr>
        <w:t xml:space="preserve">Until final payment is received, the Consultancy retains ownership of the source code and administrative control of the project accounts.</w:t>
      </w:r>
    </w:p>
    <w:p>
      <w:pPr>
        <w:pStyle w:val="ListParagraph"/>
        <w:numPr>
          <w:ilvl w:val="0"/>
          <w:numId w:val="2"/>
        </w:numPr>
        <w:spacing w:after="80" w:line="276"/>
      </w:pPr>
      <w:r>
        <w:rPr>
          <w:rFonts w:ascii="Calibri" w:cs="Calibri" w:eastAsia="Calibri" w:hAnsi="Calibri"/>
          <w:color w:val="1A1713"/>
          <w:sz w:val="21"/>
          <w:szCs w:val="21"/>
        </w:rPr>
        <w:t xml:space="preserve">All data entered into the platform — seller records, product information, orders and customer details — is the property of the Division at all times, irrespective of payment status.</w:t>
      </w:r>
    </w:p>
    <w:p>
      <w:pPr>
        <w:pStyle w:val="ListParagraph"/>
        <w:numPr>
          <w:ilvl w:val="0"/>
          <w:numId w:val="2"/>
        </w:numPr>
        <w:spacing w:after="80" w:line="276"/>
      </w:pPr>
      <w:r>
        <w:rPr>
          <w:rFonts w:ascii="Calibri" w:cs="Calibri" w:eastAsia="Calibri" w:hAnsi="Calibri"/>
          <w:color w:val="1A1713"/>
          <w:sz w:val="21"/>
          <w:szCs w:val="21"/>
        </w:rPr>
        <w:t xml:space="preserve">The Consultancy retains the right to describe this project, and to display non-confidential images of the delivered work, as a reference in its own portfolio.</w:t>
      </w:r>
    </w:p>
    <w:p>
      <w:pPr>
        <w:pStyle w:val="ListParagraph"/>
        <w:numPr>
          <w:ilvl w:val="0"/>
          <w:numId w:val="2"/>
        </w:numPr>
        <w:spacing w:after="80" w:line="276"/>
      </w:pPr>
      <w:r>
        <w:rPr>
          <w:rFonts w:ascii="Calibri" w:cs="Calibri" w:eastAsia="Calibri" w:hAnsi="Calibri"/>
          <w:color w:val="1A1713"/>
          <w:sz w:val="21"/>
          <w:szCs w:val="21"/>
        </w:rPr>
        <w:t xml:space="preserve">Third-party services used by the platform remain subject to their own providers' terms and are licensed to the Division, not owned by it.</w:t>
      </w:r>
    </w:p>
    <w:p>
      <w:pPr>
        <w:pStyle w:val="Heading1"/>
        <w:spacing w:after="160" w:before="360"/>
      </w:pPr>
      <w:r>
        <w:rPr>
          <w:rFonts w:ascii="Calibri" w:cs="Calibri" w:eastAsia="Calibri" w:hAnsi="Calibri"/>
          <w:b/>
          <w:bCs/>
          <w:color w:val="800000"/>
          <w:sz w:val="30"/>
          <w:szCs w:val="30"/>
        </w:rPr>
        <w:t xml:space="preserve">12.  Acceptance</w:t>
      </w:r>
    </w:p>
    <w:p>
      <w:pPr>
        <w:spacing w:after="120" w:line="276"/>
      </w:pPr>
      <w:r>
        <w:rPr>
          <w:rFonts w:ascii="Calibri" w:cs="Calibri" w:eastAsia="Calibri" w:hAnsi="Calibri"/>
          <w:color w:val="1A1713"/>
          <w:sz w:val="21"/>
          <w:szCs w:val="21"/>
        </w:rPr>
        <w:t xml:space="preserve">Signature below indicates agreement to the scope, fee, payment schedule and terms set out in this document.</w:t>
      </w:r>
    </w:p>
    <w:p>
      <w:pPr>
        <w:spacing w:after="0" w:before="300"/>
      </w:pPr>
    </w:p>
    <w:tbl>
      <w:tblPr>
        <w:tblW w:type="dxa" w:w="8600"/>
        <w:tblBorders>
          <w:top w:val="single" w:color="C9C2B2" w:sz="4"/>
          <w:left w:val="single" w:color="C9C2B2" w:sz="4"/>
          <w:bottom w:val="single" w:color="C9C2B2" w:sz="4"/>
          <w:right w:val="single" w:color="C9C2B2" w:sz="4"/>
          <w:insideH w:val="single" w:color="DDD7C9" w:sz="2"/>
          <w:insideV w:val="single" w:color="DDD7C9" w:sz="2"/>
        </w:tblBorders>
      </w:tblPr>
      <w:tblGrid>
        <w:gridCol w:w="4300"/>
        <w:gridCol w:w="4300"/>
      </w:tblGrid>
      <w:tr>
        <w:tc>
          <w:tcPr>
            <w:tcW w:type="dxa" w:w="4300"/>
            <w:shd w:fill="F4F1E8" w:color="auto" w:val="clear"/>
            <w:tcMar>
              <w:top w:type="dxa" w:w="90"/>
              <w:left w:type="dxa" w:w="120"/>
              <w:bottom w:type="dxa" w:w="90"/>
              <w:right w:type="dxa" w:w="120"/>
            </w:tcMar>
          </w:tcPr>
          <w:p>
            <w:pPr>
              <w:spacing w:after="0" w:line="260"/>
              <w:jc w:val="left"/>
            </w:pPr>
            <w:r>
              <w:rPr>
                <w:rFonts w:ascii="Calibri" w:cs="Calibri" w:eastAsia="Calibri" w:hAnsi="Calibri"/>
                <w:b/>
                <w:bCs/>
                <w:color w:val="1A1713"/>
                <w:sz w:val="20"/>
                <w:szCs w:val="20"/>
              </w:rPr>
              <w:t xml:space="preserve">For the Division of Commerce &amp; Industry</w:t>
            </w:r>
          </w:p>
        </w:tc>
        <w:tc>
          <w:tcPr>
            <w:tcW w:type="dxa" w:w="4300"/>
            <w:shd w:fill="F4F1E8" w:color="auto" w:val="clear"/>
            <w:tcMar>
              <w:top w:type="dxa" w:w="90"/>
              <w:left w:type="dxa" w:w="120"/>
              <w:bottom w:type="dxa" w:w="90"/>
              <w:right w:type="dxa" w:w="120"/>
            </w:tcMar>
          </w:tcPr>
          <w:p>
            <w:pPr>
              <w:spacing w:after="0" w:line="260"/>
              <w:jc w:val="left"/>
            </w:pPr>
            <w:r>
              <w:rPr>
                <w:rFonts w:ascii="Calibri" w:cs="Calibri" w:eastAsia="Calibri" w:hAnsi="Calibri"/>
                <w:b/>
                <w:bCs/>
                <w:color w:val="1A1713"/>
                <w:sz w:val="20"/>
                <w:szCs w:val="20"/>
              </w:rPr>
              <w:t xml:space="preserve">For Ready Digital Consultancy</w:t>
            </w:r>
          </w:p>
        </w:tc>
      </w:tr>
      <w:tr>
        <w:tc>
          <w:tcPr>
            <w:tcW w:type="dxa" w:w="4300"/>
            <w:tcMar>
              <w:top w:type="dxa" w:w="140"/>
              <w:left w:type="dxa" w:w="120"/>
              <w:bottom w:type="dxa" w:w="140"/>
              <w:right w:type="dxa" w:w="120"/>
            </w:tcMar>
          </w:tcPr>
          <w:p>
            <w:pPr>
              <w:spacing w:after="200" w:line="260"/>
            </w:pPr>
            <w:r>
              <w:rPr>
                <w:rFonts w:ascii="Calibri" w:cs="Calibri" w:eastAsia="Calibri" w:hAnsi="Calibri"/>
                <w:color w:val="1A1713"/>
                <w:sz w:val="20"/>
                <w:szCs w:val="20"/>
              </w:rPr>
              <w:t xml:space="preserve">Name:  ______________________________</w:t>
            </w:r>
          </w:p>
          <w:p>
            <w:pPr>
              <w:spacing w:after="200" w:line="260"/>
            </w:pPr>
            <w:r>
              <w:rPr>
                <w:rFonts w:ascii="Calibri" w:cs="Calibri" w:eastAsia="Calibri" w:hAnsi="Calibri"/>
                <w:color w:val="1A1713"/>
                <w:sz w:val="20"/>
                <w:szCs w:val="20"/>
              </w:rPr>
              <w:t xml:space="preserve">Position:  ___________________________</w:t>
            </w:r>
          </w:p>
          <w:p>
            <w:pPr>
              <w:spacing w:after="200" w:line="260"/>
            </w:pPr>
            <w:r>
              <w:rPr>
                <w:rFonts w:ascii="Calibri" w:cs="Calibri" w:eastAsia="Calibri" w:hAnsi="Calibri"/>
                <w:color w:val="1A1713"/>
                <w:sz w:val="20"/>
                <w:szCs w:val="20"/>
              </w:rPr>
              <w:t xml:space="preserve">Signature:  __________________________</w:t>
            </w:r>
          </w:p>
          <w:p>
            <w:pPr>
              <w:spacing w:after="200" w:line="260"/>
            </w:pPr>
            <w:r>
              <w:rPr>
                <w:rFonts w:ascii="Calibri" w:cs="Calibri" w:eastAsia="Calibri" w:hAnsi="Calibri"/>
                <w:color w:val="1A1713"/>
                <w:sz w:val="20"/>
                <w:szCs w:val="20"/>
              </w:rPr>
              <w:t xml:space="preserve">Date:  ______________________________</w:t>
            </w:r>
          </w:p>
        </w:tc>
        <w:tc>
          <w:tcPr>
            <w:tcW w:type="dxa" w:w="4300"/>
            <w:tcMar>
              <w:top w:type="dxa" w:w="140"/>
              <w:left w:type="dxa" w:w="120"/>
              <w:bottom w:type="dxa" w:w="140"/>
              <w:right w:type="dxa" w:w="120"/>
            </w:tcMar>
          </w:tcPr>
          <w:p>
            <w:pPr>
              <w:spacing w:after="200" w:line="260"/>
            </w:pPr>
            <w:r>
              <w:rPr>
                <w:rFonts w:ascii="Calibri" w:cs="Calibri" w:eastAsia="Calibri" w:hAnsi="Calibri"/>
                <w:color w:val="1A1713"/>
                <w:sz w:val="20"/>
                <w:szCs w:val="20"/>
              </w:rPr>
              <w:t xml:space="preserve">Name:  ______________________________</w:t>
            </w:r>
          </w:p>
          <w:p>
            <w:pPr>
              <w:spacing w:after="200" w:line="260"/>
            </w:pPr>
            <w:r>
              <w:rPr>
                <w:rFonts w:ascii="Calibri" w:cs="Calibri" w:eastAsia="Calibri" w:hAnsi="Calibri"/>
                <w:color w:val="1A1713"/>
                <w:sz w:val="20"/>
                <w:szCs w:val="20"/>
              </w:rPr>
              <w:t xml:space="preserve">Position:  ___________________________</w:t>
            </w:r>
          </w:p>
          <w:p>
            <w:pPr>
              <w:spacing w:after="200" w:line="260"/>
            </w:pPr>
            <w:r>
              <w:rPr>
                <w:rFonts w:ascii="Calibri" w:cs="Calibri" w:eastAsia="Calibri" w:hAnsi="Calibri"/>
                <w:color w:val="1A1713"/>
                <w:sz w:val="20"/>
                <w:szCs w:val="20"/>
              </w:rPr>
              <w:t xml:space="preserve">Signature:  __________________________</w:t>
            </w:r>
          </w:p>
          <w:p>
            <w:pPr>
              <w:spacing w:after="200" w:line="260"/>
            </w:pPr>
            <w:r>
              <w:rPr>
                <w:rFonts w:ascii="Calibri" w:cs="Calibri" w:eastAsia="Calibri" w:hAnsi="Calibri"/>
                <w:color w:val="1A1713"/>
                <w:sz w:val="20"/>
                <w:szCs w:val="20"/>
              </w:rPr>
              <w:t xml:space="preserve">Date:  ______________________________</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2026-07-30T21:18:15.023Z</dcterms:created>
  <dcterms:modified xsi:type="dcterms:W3CDTF">2026-07-30T21:18:15.041Z</dcterms:modified>
</cp:coreProperties>
</file>

<file path=docProps/custom.xml><?xml version="1.0" encoding="utf-8"?>
<Properties xmlns="http://schemas.openxmlformats.org/officeDocument/2006/custom-properties" xmlns:vt="http://schemas.openxmlformats.org/officeDocument/2006/docPropsVTypes"/>
</file>