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E3A5F"/>
          <w:sz w:val="26"/>
        </w:rPr>
        <w:t>PONTIFÍCIA UNIVERSIDADE CATÓLICA DE MINAS GERAIS — PUC-MG</w:t>
      </w:r>
    </w:p>
    <w:p>
      <w:pPr>
        <w:jc w:val="center"/>
      </w:pPr>
      <w:r>
        <w:rPr>
          <w:color w:val="595959"/>
          <w:sz w:val="22"/>
        </w:rPr>
        <w:t>Curso de Engenharia de Computação · Disciplina: IoT &amp; PLCs · 2026.2</w:t>
      </w:r>
    </w:p>
    <w:p/>
    <w:p>
      <w:pPr>
        <w:jc w:val="center"/>
      </w:pPr>
      <w:r>
        <w:rPr>
          <w:b/>
          <w:color w:val="1E3A5F"/>
          <w:sz w:val="52"/>
        </w:rPr>
        <w:t>TUPAN, MÁQUINA DE CHUVA</w:t>
      </w:r>
    </w:p>
    <w:p>
      <w:pPr>
        <w:jc w:val="center"/>
      </w:pPr>
      <w:r>
        <w:rPr>
          <w:i/>
          <w:sz w:val="26"/>
        </w:rPr>
        <w:t>Gerador de Água Atmosférica por Sorção de Cloreto de Cálcio e Regeneração por Solenoide: modelagem físico-química, simulação computacional e avaliação de impacto em escala</w:t>
      </w:r>
    </w:p>
    <w:p>
      <w:pPr>
        <w:jc w:val="center"/>
      </w:pPr>
      <w:r>
        <w:rPr>
          <w:b/>
          <w:sz w:val="24"/>
        </w:rPr>
        <w:t>Túlio Ferreira Horta</w:t>
      </w:r>
    </w:p>
    <w:p/>
    <w:p>
      <w:pPr>
        <w:pStyle w:val="Heading1"/>
        <w:spacing w:before="240" w:after="120"/>
      </w:pPr>
      <w:r>
        <w:t>Resumo</w:t>
      </w:r>
    </w:p>
    <w:p>
      <w:pPr>
        <w:spacing w:after="80" w:line="276" w:lineRule="auto"/>
      </w:pPr>
      <w:r>
        <w:rPr>
          <w:i w:val="0"/>
        </w:rPr>
        <w:t>Este trabalho apresenta o projeto, a modelagem e a validação de um gerador de água atmosférica (Atmospheric Water Generator, AWG) sem compressor, destinado à hidratação humana descentralizada no semiárido brasileiro. O dispositivo opera em ciclo diário: à noite, ventiladores forçam ar úmido através de um leito de cloreto de cálcio (CaCl₂), que retém água por sorção química; ao amanhecer, um servo-registro isola a entrada de ar e abre o duto de destilação; durante o dia, uma solenoide aquece o sal úmido a 120 °C, liberando vapor que condensa em vidraria de laboratório; o destilado atravessa um filtro mineralizante e uma câmara UV-C antes de ser armazenado em bacia de 2 L com torneira. O núcleo físico implementado em C++23 foi acoplado a uma esteira de dados de 14.616 horas de reanálise ERA5/Open-Meteo para Petrolina-PE e a um modelo de aprendizado de máquina por regressão ridge de grau 2 treinado em streaming. Resultados: umidade relativa noturna média de 68,65 % a 24,64 °C; produção de 0,68 L potáveis por ciclo (0,43 L/kWh); projeção de 593,8 L/ano por unidade; R² = 0,991 e RMSE = 0,064 L para o modelo preditivo. A análise de escala para 100 mil unidades estima 24,7 ML/ano de água, 61 GWh/ano de energia e 70–100 t de sal exaurido por década, impondo solarização e logística reversa como condições de contorno do projeto. Conclui-se pela viabilidade técnica e pela necessidade de acoplamento socioambiental explícito.</w:t>
      </w:r>
    </w:p>
    <w:p>
      <w:pPr>
        <w:spacing w:after="80" w:line="276" w:lineRule="auto"/>
      </w:pPr>
      <w:r>
        <w:rPr>
          <w:i w:val="0"/>
        </w:rPr>
      </w:r>
    </w:p>
    <w:p>
      <w:r>
        <w:rPr>
          <w:b/>
        </w:rPr>
        <w:t xml:space="preserve">Palavras-chave: </w:t>
      </w:r>
      <w:r>
        <w:t>gerador de água atmosférica; sorção; cloreto de cálcio; destilação solar; semiárido; IoT; conformidade regulatória.</w:t>
      </w:r>
    </w:p>
    <w:p>
      <w:pPr>
        <w:pStyle w:val="Heading1"/>
        <w:spacing w:before="240" w:after="120"/>
      </w:pPr>
      <w:r>
        <w:t>Abstract</w:t>
      </w:r>
    </w:p>
    <w:p>
      <w:pPr>
        <w:spacing w:after="80" w:line="276" w:lineRule="auto"/>
      </w:pPr>
      <w:r>
        <w:rPr>
          <w:i w:val="0"/>
        </w:rPr>
        <w:t>This work presents the design, modeling and validation of a compressor-free Atmospheric Water Generator (AWG) for decentralized human hydration in the Brazilian semi-arid region. The device runs a diurnal cycle: at night, fans force humid air through a calcium chloride (CaCl₂) bed that chemically retains water; at dawn a servo damper isolates the air intake and opens the distillation duct; during the day a solenoid heats the wet salt to 120 °C, releasing vapor that condenses in laboratory glassware; the distillate passes through a mineralizing filter and a UV-C chamber before storage in a 2 L tap basin. The C++23 physical core was coupled to 14,616 hours of ERA5/Open-Meteo reanalysis for Petrolina-PE and to a degree-2 ridge regression model trained in streaming fashion. Results: mean nocturnal relative humidity of 68.65 % at 24.64 °C; 0.68 L of potable water per cycle (0.43 L/kWh); 593.8 L/year per unit; R² = 0.991 and RMSE = 0.064 L for the predictive model. A 100,000-unit scale analysis estimates 24.7 ML/year of water, 61 GWh/year of energy and 70–100 t of spent salt per decade, making solarization and reverse logistics mandatory boundary conditions. Technical feasibility is confirmed; explicit socio-environmental coupling is required.</w:t>
      </w:r>
    </w:p>
    <w:p>
      <w:r>
        <w:rPr>
          <w:b/>
        </w:rPr>
        <w:t xml:space="preserve">Keywords: </w:t>
      </w:r>
      <w:r>
        <w:t>atmospheric water generator; sorption; calcium chloride; solar distillation; semi-arid; IoT; regulatory compliance.</w:t>
      </w:r>
    </w:p>
    <w:p>
      <w:r>
        <w:br w:type="page"/>
      </w:r>
    </w:p>
    <w:p>
      <w:pPr>
        <w:pStyle w:val="Heading1"/>
        <w:spacing w:before="240" w:after="120"/>
      </w:pPr>
      <w:r>
        <w:t>1 Introdução</w:t>
      </w:r>
    </w:p>
    <w:p>
      <w:pPr>
        <w:spacing w:after="80" w:line="276" w:lineRule="auto"/>
      </w:pPr>
      <w:r>
        <w:rPr>
          <w:i w:val="0"/>
        </w:rPr>
        <w:t>A escassez hídrica no semiárido brasileiro é um fenômeno estrutural, e não apenas conjuntural: a região abriga mais de 30 milhões de habitantes distribuídos por 1.262 municípios oficialmente delimitados como semiáridos [32], com precipitação média entre 250 e 800 mm/ano concentrada em poucos meses e forte variabilidade interanual associada aos ciclos de El Niño e ao aquecimento do Atlântico tropical [20]. Nesse cenário, o abastecimento domiciliar depende de cisternas, caminhões-pipa e aquíferos frequentemente salobros [19], [33].</w:t>
      </w:r>
    </w:p>
    <w:p>
      <w:pPr>
        <w:spacing w:after="80" w:line="276" w:lineRule="auto"/>
      </w:pPr>
      <w:r>
        <w:rPr>
          <w:i w:val="0"/>
        </w:rPr>
        <w:t>A umidade atmosférica constitui um recurso hídrico difuso e renovável, cuja exploração por geradores de água atmosférica (AWG) tem sido investigada por diferentes rotas tecnológicas [6], [7]. A rota convencional emprega refrigeração por compressão de vapor, resfriando o ar abaixo do ponto de orvalho; trata-se de tecnologia madura, porém dependente de compressor, gás refrigerante e de potência elétrica concentrada — o que compromete custo, ruído, manutenção e acessibilidade em comunidades rurais [6]. Rotas alternativas exploram dessecantes sólidos e líquidos, cuja afinidade química pela água permite capturá-la sem atingir o ponto de orvalho, com regeneração térmica posterior [6], [8].</w:t>
      </w:r>
    </w:p>
    <w:p>
      <w:pPr>
        <w:spacing w:after="80" w:line="276" w:lineRule="auto"/>
      </w:pPr>
      <w:r>
        <w:rPr>
          <w:i w:val="0"/>
        </w:rPr>
        <w:t>Este trabalho adota a rota de dessecante sólido (cloreto de cálcio) e responde à seguinte questão de pesquisa: é possível operar um AWG doméstico sem compressor e sem refrigeração, aproveitando o ciclo diário de umidade do semiárido, com produção suficiente para hidratação humana e custo elétrico socialmente aceitável? A hipótese central é que o assincronismo entre a captura noturna (ar úmido e frio) e a regeneração diurna (calor disponível) confere ao semiárido uma vantagem termodinâmica para sorção térmica, dispensando refrigeração ativa.</w:t>
      </w:r>
    </w:p>
    <w:p>
      <w:pPr>
        <w:spacing w:after="80" w:line="276" w:lineRule="auto"/>
      </w:pPr>
      <w:r>
        <w:rPr>
          <w:i w:val="0"/>
        </w:rPr>
        <w:t>Os objetivos específicos são: (i) modelar físico-quimicamente as etapas de sorção, regeneração, destilação e pós-tratamento; (ii) implementar um núcleo de simulação determinístico em C++23 e validá-lo por testes automatizados; (iii) estimar a produção anual com dados climáticos reais de Petrolina-PE; (iv) construir um modelo preditivo por aprendizado de máquina com interpretabilidade física; (v) quantificar custo energético sob tarifas brasileiras; (vi) avaliar riscos de adoção em massa; e (vii) verificar aderência ao arcabouço regulatório brasileiro.</w:t>
      </w:r>
    </w:p>
    <w:p>
      <w:pPr>
        <w:spacing w:after="80" w:line="276" w:lineRule="auto"/>
      </w:pPr>
      <w:r>
        <w:rPr>
          <w:i w:val="0"/>
        </w:rPr>
        <w:t>O nome Tupan deriva do tupi-guarani para "trovão" ou "espírito divino", referência à origem atmosférica da água e ao conhecimento indígena sobre os ciclos de chuva no território [31].</w:t>
      </w:r>
    </w:p>
    <w:p>
      <w:pPr>
        <w:pStyle w:val="Heading1"/>
        <w:spacing w:before="240" w:after="120"/>
      </w:pPr>
      <w:r>
        <w:t>2 Fundamentação Teórica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723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nder_corte_noturn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23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1 — Corte do modo SORÇÃO (noite): ventoinhas forçam o ar úmido pelo leito de CaCl₂.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723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nder_corte_diurn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23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2 — Corte do modo REGENERAÇÃO (dia): servo isola o ar, solenoide a 120 °C libera vapor; vidraria, filtro e UV-C.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0683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nder_ciclo_4etapa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8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3 — Ciclo diário em quatro etapas auditáveis.</w:t>
      </w:r>
    </w:p>
    <w:p>
      <w:pPr>
        <w:pStyle w:val="Heading2"/>
        <w:spacing w:before="240" w:after="120"/>
      </w:pPr>
      <w:r>
        <w:t>2.1 Psicrometria e disponibilidade de vapor</w:t>
      </w:r>
    </w:p>
    <w:p>
      <w:pPr>
        <w:spacing w:after="80" w:line="276" w:lineRule="auto"/>
      </w:pPr>
      <w:r>
        <w:rPr>
          <w:i w:val="0"/>
        </w:rPr>
        <w:t>A pressão de saturação do vapor d'água é descrita pela equação de Magnus, forma empírica da integração da relação de Clausius–Clapeyron [1], [2]:</w:t>
      </w:r>
    </w:p>
    <w:p>
      <w:pPr>
        <w:spacing w:before="120" w:after="40"/>
        <w:jc w:val="center"/>
      </w:pPr>
      <w:r>
        <w:rPr>
          <w:rFonts w:ascii="Cambria Math" w:hAnsi="Cambria Math"/>
          <w:b/>
          <w:color w:val="1E3A5F"/>
          <w:sz w:val="22"/>
        </w:rPr>
        <w:t>e_s(T) = 6,1094 · exp( 17,625 · T / (243,04 + T) )   [hPa]</w:t>
      </w:r>
    </w:p>
    <w:p>
      <w:pPr>
        <w:spacing w:after="80"/>
        <w:jc w:val="center"/>
      </w:pPr>
      <w:r>
        <w:rPr>
          <w:i/>
          <w:color w:val="595959"/>
          <w:sz w:val="18"/>
        </w:rPr>
        <w:t>Equação de Magnus (T em °C)</w:t>
      </w:r>
    </w:p>
    <w:p>
      <w:pPr>
        <w:spacing w:before="120" w:after="40"/>
        <w:jc w:val="center"/>
      </w:pPr>
      <w:r>
        <w:rPr>
          <w:rFonts w:ascii="Cambria Math" w:hAnsi="Cambria Math"/>
          <w:b/>
          <w:color w:val="1E3A5F"/>
          <w:sz w:val="22"/>
        </w:rPr>
        <w:t>d e_s / dT = L_v · e_s / (R_v · T²)</w:t>
      </w:r>
    </w:p>
    <w:p>
      <w:pPr>
        <w:spacing w:after="80"/>
        <w:jc w:val="center"/>
      </w:pPr>
      <w:r>
        <w:rPr>
          <w:i/>
          <w:color w:val="595959"/>
          <w:sz w:val="18"/>
        </w:rPr>
        <w:t>Forma diferencial de Clausius–Clapeyron (L_v = calor latente, R_v = constante do vapor)</w:t>
      </w:r>
    </w:p>
    <w:p>
      <w:pPr>
        <w:spacing w:after="80" w:line="276" w:lineRule="auto"/>
      </w:pPr>
      <w:r>
        <w:rPr>
          <w:i w:val="0"/>
        </w:rPr>
        <w:t>A densidade de vapor é obtida pela lei dos gases ideais, e a umidade absoluta (razão de mistura) pela relação psicrométrica [2], [3]:</w:t>
      </w:r>
    </w:p>
    <w:p>
      <w:pPr>
        <w:spacing w:before="120" w:after="40"/>
        <w:jc w:val="center"/>
      </w:pPr>
      <w:r>
        <w:rPr>
          <w:rFonts w:ascii="Cambria Math" w:hAnsi="Cambria Math"/>
          <w:b/>
          <w:color w:val="1E3A5F"/>
          <w:sz w:val="22"/>
        </w:rPr>
        <w:t>ρ_v(T, UR) = UR/100 · e_s(T) · M_w / (R · (T + 273,15))   [g/m³]</w:t>
      </w:r>
    </w:p>
    <w:p>
      <w:pPr>
        <w:spacing w:after="80"/>
        <w:jc w:val="center"/>
      </w:pPr>
      <w:r>
        <w:rPr>
          <w:i/>
          <w:color w:val="595959"/>
          <w:sz w:val="18"/>
        </w:rPr>
        <w:t>Densidade de vapor saturado/parcial (M_w = 18,015 g/mol)</w:t>
      </w:r>
    </w:p>
    <w:p>
      <w:pPr>
        <w:spacing w:before="120" w:after="40"/>
        <w:jc w:val="center"/>
      </w:pPr>
      <w:r>
        <w:rPr>
          <w:rFonts w:ascii="Cambria Math" w:hAnsi="Cambria Math"/>
          <w:b/>
          <w:color w:val="1E3A5F"/>
          <w:sz w:val="22"/>
        </w:rPr>
        <w:t>w = 0,622 · e / (p − e)   [kg H₂O / kg ar seco]</w:t>
      </w:r>
    </w:p>
    <w:p>
      <w:pPr>
        <w:spacing w:after="80"/>
        <w:jc w:val="center"/>
      </w:pPr>
      <w:r>
        <w:rPr>
          <w:i/>
          <w:color w:val="595959"/>
          <w:sz w:val="18"/>
        </w:rPr>
        <w:t>Razão de mistura (e = pressão parcial de vapor, p = pressão total)</w:t>
      </w:r>
    </w:p>
    <w:p>
      <w:pPr>
        <w:spacing w:after="80" w:line="276" w:lineRule="auto"/>
      </w:pPr>
      <w:r>
        <w:rPr>
          <w:i w:val="0"/>
        </w:rPr>
        <w:t>A entalpia específica do ar úmido, usada no balanço térmico do leito, é [3]:</w:t>
      </w:r>
    </w:p>
    <w:p>
      <w:pPr>
        <w:spacing w:before="120" w:after="40"/>
        <w:jc w:val="center"/>
      </w:pPr>
      <w:r>
        <w:rPr>
          <w:rFonts w:ascii="Cambria Math" w:hAnsi="Cambria Math"/>
          <w:b/>
          <w:color w:val="1E3A5F"/>
          <w:sz w:val="22"/>
        </w:rPr>
        <w:t>h = 1,006 · T + w · (2501 + 1,86 · T)   [kJ/kg ar seco]</w:t>
      </w:r>
    </w:p>
    <w:p>
      <w:pPr>
        <w:spacing w:after="80"/>
        <w:jc w:val="center"/>
      </w:pPr>
      <w:r>
        <w:rPr>
          <w:i/>
          <w:color w:val="595959"/>
          <w:sz w:val="18"/>
        </w:rPr>
        <w:t>Entalpia do ar úmido (referência 0 °C)</w:t>
      </w:r>
    </w:p>
    <w:p>
      <w:pPr>
        <w:spacing w:after="80" w:line="276" w:lineRule="auto"/>
      </w:pPr>
      <w:r>
        <w:rPr>
          <w:i w:val="0"/>
        </w:rPr>
        <w:t>A vantagem do semiárido reside na histerese diária: a UR sobe à noite (ar frio) e cai ao dia (ar quente), enquanto a razão de mistura absoluta varia menos. O modelo explora exatamente essa janela: captura quando ρ_v é alta no ciclo noturno e regenera com calor diurno.</w:t>
      </w:r>
    </w:p>
    <w:p>
      <w:pPr>
        <w:pStyle w:val="Heading2"/>
        <w:spacing w:before="240" w:after="120"/>
      </w:pPr>
      <w:r>
        <w:t>2.2 Sorção química no leito de CaCl₂</w:t>
      </w:r>
    </w:p>
    <w:p>
      <w:pPr>
        <w:spacing w:after="80" w:line="276" w:lineRule="auto"/>
      </w:pPr>
      <w:r>
        <w:rPr>
          <w:i w:val="0"/>
        </w:rPr>
        <w:t>O cloreto de cálcio é um dessecante deliquescente: forma hidratos estáveis e, acima da umidade relativa de deliquescência (≈ 29 % a 25 °C), dissocia-se em solução saturada. As reações reversíveis relevantes são [5], [6]:</w:t>
      </w:r>
    </w:p>
    <w:p>
      <w:pPr>
        <w:spacing w:before="120" w:after="40"/>
        <w:jc w:val="center"/>
      </w:pPr>
      <w:r>
        <w:rPr>
          <w:rFonts w:ascii="Cambria" w:hAnsi="Cambria"/>
          <w:b/>
          <w:color w:val="1B5E20"/>
          <w:sz w:val="22"/>
        </w:rPr>
        <w:t>CaCl₂(s) + 2 H₂O(g) ⇌ CaCl₂·2H₂O(s) + ΔH₁   (ΔH₁ &lt; 0)</w:t>
      </w:r>
    </w:p>
    <w:p>
      <w:pPr>
        <w:spacing w:after="80"/>
        <w:jc w:val="center"/>
      </w:pPr>
      <w:r>
        <w:rPr>
          <w:i/>
          <w:color w:val="595959"/>
          <w:sz w:val="18"/>
        </w:rPr>
        <w:t>Reação: formação do di-hidrato (sorção exotérmica)</w:t>
      </w:r>
    </w:p>
    <w:p>
      <w:pPr>
        <w:spacing w:before="120" w:after="40"/>
        <w:jc w:val="center"/>
      </w:pPr>
      <w:r>
        <w:rPr>
          <w:rFonts w:ascii="Cambria" w:hAnsi="Cambria"/>
          <w:b/>
          <w:color w:val="1B5E20"/>
          <w:sz w:val="22"/>
        </w:rPr>
        <w:t>CaCl₂·2H₂O(s) + 4 H₂O(g) ⇌ CaCl₂·6H₂O(s) + ΔH₂</w:t>
      </w:r>
    </w:p>
    <w:p>
      <w:pPr>
        <w:spacing w:after="80"/>
        <w:jc w:val="center"/>
      </w:pPr>
      <w:r>
        <w:rPr>
          <w:i/>
          <w:color w:val="595959"/>
          <w:sz w:val="18"/>
        </w:rPr>
        <w:t>Reação: formação do hexa-hidrato / deliquescência</w:t>
      </w:r>
    </w:p>
    <w:p>
      <w:pPr>
        <w:spacing w:before="120" w:after="40"/>
        <w:jc w:val="center"/>
      </w:pPr>
      <w:r>
        <w:rPr>
          <w:rFonts w:ascii="Cambria" w:hAnsi="Cambria"/>
          <w:b/>
          <w:color w:val="1B5E20"/>
          <w:sz w:val="22"/>
        </w:rPr>
        <w:t>CaCl₂(s) ⇌ Ca²⁺(aq) + 2 Cl⁻(aq)   (solubilidade ≈ 74 g/100 mL a 20 °C)</w:t>
      </w:r>
    </w:p>
    <w:p>
      <w:pPr>
        <w:spacing w:after="80"/>
        <w:jc w:val="center"/>
      </w:pPr>
      <w:r>
        <w:rPr>
          <w:i/>
          <w:color w:val="595959"/>
          <w:sz w:val="18"/>
        </w:rPr>
        <w:t>Reação: dissociação iônica em fase líquida</w:t>
      </w:r>
    </w:p>
    <w:p>
      <w:pPr>
        <w:spacing w:after="80" w:line="276" w:lineRule="auto"/>
      </w:pPr>
      <w:r>
        <w:rPr>
          <w:i w:val="0"/>
        </w:rPr>
        <w:t>A sorção em sólidos porosos é frequentemente descrita por isotermas de Langmuir (cobertura monocamada) e, para valores elevados de atividade de água, por modelos GAB [5]:</w:t>
      </w:r>
    </w:p>
    <w:p>
      <w:pPr>
        <w:spacing w:before="120" w:after="40"/>
        <w:jc w:val="center"/>
      </w:pPr>
      <w:r>
        <w:rPr>
          <w:rFonts w:ascii="Cambria Math" w:hAnsi="Cambria Math"/>
          <w:b/>
          <w:color w:val="1E3A5F"/>
          <w:sz w:val="22"/>
        </w:rPr>
        <w:t>θ = K·P / (1 + K·P)</w:t>
      </w:r>
    </w:p>
    <w:p>
      <w:pPr>
        <w:spacing w:after="80"/>
        <w:jc w:val="center"/>
      </w:pPr>
      <w:r>
        <w:rPr>
          <w:i/>
          <w:color w:val="595959"/>
          <w:sz w:val="18"/>
        </w:rPr>
        <w:t>Isoterma de Langmuir (θ = fração de sítios ocupados)</w:t>
      </w:r>
    </w:p>
    <w:p>
      <w:pPr>
        <w:spacing w:before="120" w:after="40"/>
        <w:jc w:val="center"/>
      </w:pPr>
      <w:r>
        <w:rPr>
          <w:rFonts w:ascii="Cambria Math" w:hAnsi="Cambria Math"/>
          <w:b/>
          <w:color w:val="1E3A5F"/>
          <w:sz w:val="22"/>
        </w:rPr>
        <w:t>m_eq/(M·q) = C·K·a_w / ((1 − K·a_w)(1 + (C−1)·K·a_w))</w:t>
      </w:r>
    </w:p>
    <w:p>
      <w:pPr>
        <w:spacing w:after="80"/>
        <w:jc w:val="center"/>
      </w:pPr>
      <w:r>
        <w:rPr>
          <w:i/>
          <w:color w:val="595959"/>
          <w:sz w:val="18"/>
        </w:rPr>
        <w:t>Isoterma GAB (a_w = atividade de água)</w:t>
      </w:r>
    </w:p>
    <w:p>
      <w:pPr>
        <w:spacing w:after="80" w:line="276" w:lineRule="auto"/>
      </w:pPr>
      <w:r>
        <w:rPr>
          <w:i w:val="0"/>
        </w:rPr>
        <w:t>A transferência de massa intrapartícula é governada pela segunda lei de Fick, cuja solução para esferas fundamenta o coeficiente efetivo de difusão D_eff [5]:</w:t>
      </w:r>
    </w:p>
    <w:p>
      <w:pPr>
        <w:spacing w:before="120" w:after="40"/>
        <w:jc w:val="center"/>
      </w:pPr>
      <w:r>
        <w:rPr>
          <w:rFonts w:ascii="Cambria Math" w:hAnsi="Cambria Math"/>
          <w:b/>
          <w:color w:val="1E3A5F"/>
          <w:sz w:val="22"/>
        </w:rPr>
        <w:t>∂C/∂t = ∇·(D_eff · ∇C) = D_eff ∇²C</w:t>
      </w:r>
    </w:p>
    <w:p>
      <w:pPr>
        <w:spacing w:after="80"/>
        <w:jc w:val="center"/>
      </w:pPr>
      <w:r>
        <w:rPr>
          <w:i/>
          <w:color w:val="595959"/>
          <w:sz w:val="18"/>
        </w:rPr>
        <w:t>Segunda lei de Fick (difusão em meio poroso)</w:t>
      </w:r>
    </w:p>
    <w:p>
      <w:pPr>
        <w:spacing w:after="80" w:line="276" w:lineRule="auto"/>
      </w:pPr>
      <w:r>
        <w:rPr>
          <w:i w:val="0"/>
        </w:rPr>
        <w:t>Neste trabalho, a cinética global de captação é aproximada por uma equação diferencial ordinária de primeira ordem com teto de saturação M·q:</w:t>
      </w:r>
    </w:p>
    <w:p>
      <w:pPr>
        <w:spacing w:before="120" w:after="40"/>
        <w:jc w:val="center"/>
      </w:pPr>
      <w:r>
        <w:rPr>
          <w:rFonts w:ascii="Cambria Math" w:hAnsi="Cambria Math"/>
          <w:b/>
          <w:color w:val="1E3A5F"/>
          <w:sz w:val="22"/>
        </w:rPr>
        <w:t>dm/dt = k · (M·q − m)   ⇒   m(t) = M·q · (1 − e^(−k·t))</w:t>
      </w:r>
    </w:p>
    <w:p>
      <w:pPr>
        <w:spacing w:after="80"/>
        <w:jc w:val="center"/>
      </w:pPr>
      <w:r>
        <w:rPr>
          <w:i/>
          <w:color w:val="595959"/>
          <w:sz w:val="18"/>
        </w:rPr>
        <w:t>Cinética de sorção de 1ª ordem (k = 0,55 h⁻¹; M = 2 kg; q = 1,0)</w:t>
      </w:r>
    </w:p>
    <w:p>
      <w:pPr>
        <w:spacing w:after="80" w:line="276" w:lineRule="auto"/>
      </w:pPr>
      <w:r>
        <w:rPr>
          <w:i w:val="0"/>
        </w:rPr>
        <w:t>O fluxo mássico advectado pelo ar é limitado pela diferença de concentração entre entrada e saída do leito:</w:t>
      </w:r>
    </w:p>
    <w:p>
      <w:pPr>
        <w:spacing w:before="120" w:after="40"/>
        <w:jc w:val="center"/>
      </w:pPr>
      <w:r>
        <w:rPr>
          <w:rFonts w:ascii="Cambria Math" w:hAnsi="Cambria Math"/>
          <w:b/>
          <w:color w:val="1E3A5F"/>
          <w:sz w:val="22"/>
        </w:rPr>
        <w:t>ṁ_ar = (ρ_v,ent − ρ_v,sai) · Q_ar · η_leito</w:t>
      </w:r>
    </w:p>
    <w:p>
      <w:pPr>
        <w:spacing w:after="80"/>
        <w:jc w:val="center"/>
      </w:pPr>
      <w:r>
        <w:rPr>
          <w:i/>
          <w:color w:val="595959"/>
          <w:sz w:val="18"/>
        </w:rPr>
        <w:t>Taxa de captação mássica (Q_ar = vazão; η_leito = eficiência do leito)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fill="DCEAF7"/>
            <w:tcBorders>
              <w:top w:sz="8" w:val="single" w:color="1E3A5F"/>
              <w:left w:sz="8" w:val="single" w:color="1E3A5F"/>
              <w:bottom w:sz="8" w:val="single" w:color="1E3A5F"/>
              <w:right w:sz="8" w:val="single" w:color="1E3A5F"/>
            </w:tcBorders>
          </w:tcPr>
          <w:p>
            <w:r/>
            <w:r>
              <w:rPr>
                <w:b/>
                <w:color w:val="1E3A5F"/>
              </w:rPr>
              <w:t>Por que CaCl₂?</w:t>
              <w:br/>
            </w:r>
            <w:r>
              <w:rPr>
                <w:sz w:val="20"/>
              </w:rPr>
              <w:t>Custo muito baixo, alta capacidade (até ~1 kg H₂O/kg de sal), regeneração a ~120 °C (compatível com solenoide ou calor solar) e reversibilidade. Contrapartida: exige filtragem de poeira e logística reversa do sal exaurido — tratada na Seção 5.6.</w:t>
            </w:r>
          </w:p>
        </w:tc>
      </w:tr>
    </w:tbl>
    <w:p/>
    <w:p>
      <w:pPr>
        <w:pStyle w:val="Heading2"/>
        <w:spacing w:before="240" w:after="120"/>
      </w:pPr>
      <w:r>
        <w:t>2.3 Regeneração térmica e transporte de calor</w:t>
      </w:r>
    </w:p>
    <w:p>
      <w:pPr>
        <w:spacing w:after="80" w:line="276" w:lineRule="auto"/>
      </w:pPr>
      <w:r>
        <w:rPr>
          <w:i w:val="0"/>
        </w:rPr>
        <w:t>A regeneração inverte as reações de sorção pela adição de calor sensível e latente:</w:t>
      </w:r>
    </w:p>
    <w:p>
      <w:pPr>
        <w:spacing w:before="120" w:after="40"/>
        <w:jc w:val="center"/>
      </w:pPr>
      <w:r>
        <w:rPr>
          <w:rFonts w:ascii="Cambria" w:hAnsi="Cambria"/>
          <w:b/>
          <w:color w:val="1B5E20"/>
          <w:sz w:val="22"/>
        </w:rPr>
        <w:t>CaCl₂·6H₂O(s) → CaCl₂·2H₂O(s) + 4 H₂O(g) → CaCl₂(s) + 6 H₂O(g)</w:t>
      </w:r>
    </w:p>
    <w:p>
      <w:pPr>
        <w:spacing w:after="80"/>
        <w:jc w:val="center"/>
      </w:pPr>
      <w:r>
        <w:rPr>
          <w:i/>
          <w:color w:val="595959"/>
          <w:sz w:val="18"/>
        </w:rPr>
        <w:t>Reação: desidratação térmica escalonada (120 °C)</w:t>
      </w:r>
    </w:p>
    <w:p>
      <w:pPr>
        <w:spacing w:after="80" w:line="276" w:lineRule="auto"/>
      </w:pPr>
      <w:r>
        <w:rPr>
          <w:i w:val="0"/>
        </w:rPr>
        <w:t>O transporte de calor no leito e na vizinhança é descrito pela equação de condução de Fourier e, em regime transiente, pela difusão térmica [4]:</w:t>
      </w:r>
    </w:p>
    <w:p>
      <w:pPr>
        <w:spacing w:before="120" w:after="40"/>
        <w:jc w:val="center"/>
      </w:pPr>
      <w:r>
        <w:rPr>
          <w:rFonts w:ascii="Cambria Math" w:hAnsi="Cambria Math"/>
          <w:b/>
          <w:color w:val="1E3A5F"/>
          <w:sz w:val="22"/>
        </w:rPr>
        <w:t>∂T/∂t = α ∇²T + Q̇/(ρ·c_p)   (α = k/(ρ·c_p))</w:t>
      </w:r>
    </w:p>
    <w:p>
      <w:pPr>
        <w:spacing w:after="80"/>
        <w:jc w:val="center"/>
      </w:pPr>
      <w:r>
        <w:rPr>
          <w:i/>
          <w:color w:val="595959"/>
          <w:sz w:val="18"/>
        </w:rPr>
        <w:t>Equação de calor com geração interna (α = difusividade térmica)</w:t>
      </w:r>
    </w:p>
    <w:p>
      <w:pPr>
        <w:spacing w:before="120" w:after="40"/>
        <w:jc w:val="center"/>
      </w:pPr>
      <w:r>
        <w:rPr>
          <w:rFonts w:ascii="Cambria Math" w:hAnsi="Cambria Math"/>
          <w:b/>
          <w:color w:val="1E3A5F"/>
          <w:sz w:val="22"/>
        </w:rPr>
        <w:t>q = −k ∇T   (lei de Fourier)</w:t>
      </w:r>
    </w:p>
    <w:p>
      <w:pPr>
        <w:spacing w:after="80"/>
        <w:jc w:val="center"/>
      </w:pPr>
      <w:r>
        <w:rPr>
          <w:i/>
          <w:color w:val="595959"/>
          <w:sz w:val="18"/>
        </w:rPr>
        <w:t>Fluxo de calor condutivo</w:t>
      </w:r>
    </w:p>
    <w:p>
      <w:pPr>
        <w:spacing w:after="80" w:line="276" w:lineRule="auto"/>
      </w:pPr>
      <w:r>
        <w:rPr>
          <w:i w:val="0"/>
        </w:rPr>
        <w:t>Para a fase concentrada (leito), o balanço de energia de primeira ordem é modelado pelo resfriamento de Newton com aquecimento da solenoide:</w:t>
      </w:r>
    </w:p>
    <w:p>
      <w:pPr>
        <w:spacing w:before="120" w:after="40"/>
        <w:jc w:val="center"/>
      </w:pPr>
      <w:r>
        <w:rPr>
          <w:rFonts w:ascii="Cambria Math" w:hAnsi="Cambria Math"/>
          <w:b/>
          <w:color w:val="1E3A5F"/>
          <w:sz w:val="22"/>
        </w:rPr>
        <w:t>ρ V c_p · dT/dt = P_sol · η_aq − h A (T − T_amb)</w:t>
      </w:r>
    </w:p>
    <w:p>
      <w:pPr>
        <w:spacing w:after="80"/>
        <w:jc w:val="center"/>
      </w:pPr>
      <w:r>
        <w:rPr>
          <w:i/>
          <w:color w:val="595959"/>
          <w:sz w:val="18"/>
        </w:rPr>
        <w:t>Balanço térmico do leito (P = 250 W; η_aq = 0,90)</w:t>
      </w:r>
    </w:p>
    <w:p>
      <w:pPr>
        <w:spacing w:after="80" w:line="276" w:lineRule="auto"/>
      </w:pPr>
      <w:r>
        <w:rPr>
          <w:i w:val="0"/>
        </w:rPr>
        <w:t>A potência térmica necessária à vaporização combina calor sensível (aquecimento da água de 25 °C a 100 °C) e latente:</w:t>
      </w:r>
    </w:p>
    <w:p>
      <w:pPr>
        <w:spacing w:before="120" w:after="40"/>
        <w:jc w:val="center"/>
      </w:pPr>
      <w:r>
        <w:rPr>
          <w:rFonts w:ascii="Cambria Math" w:hAnsi="Cambria Math"/>
          <w:b/>
          <w:color w:val="1E3A5F"/>
          <w:sz w:val="22"/>
        </w:rPr>
        <w:t>Q_nec = m_lib · [ c_p,água · ΔT + L_v ] = m_lib · [4,186 · 75 + 2257]</w:t>
      </w:r>
    </w:p>
    <w:p>
      <w:pPr>
        <w:spacing w:after="80"/>
        <w:jc w:val="center"/>
      </w:pPr>
      <w:r>
        <w:rPr>
          <w:i/>
          <w:color w:val="595959"/>
          <w:sz w:val="18"/>
        </w:rPr>
        <w:t>Calor sensível + latente (kJ/kg)</w:t>
      </w:r>
    </w:p>
    <w:p>
      <w:pPr>
        <w:spacing w:after="80" w:line="276" w:lineRule="auto"/>
      </w:pPr>
      <w:r>
        <w:rPr>
          <w:i w:val="0"/>
        </w:rPr>
        <w:t>A fração liberável é função da temperatura do aquecedor, modelada por saturação linear com corte físico:</w:t>
      </w:r>
    </w:p>
    <w:p>
      <w:pPr>
        <w:spacing w:before="120" w:after="40"/>
        <w:jc w:val="center"/>
      </w:pPr>
      <w:r>
        <w:rPr>
          <w:rFonts w:ascii="Cambria Math" w:hAnsi="Cambria Math"/>
          <w:b/>
          <w:color w:val="1E3A5F"/>
          <w:sz w:val="22"/>
        </w:rPr>
        <w:t>φ(T_aq) = clamp01( (T_aq − 80) / 40 )   ⇒ φ = 1,0 a 120 °C</w:t>
      </w:r>
    </w:p>
    <w:p>
      <w:pPr>
        <w:spacing w:after="80"/>
        <w:jc w:val="center"/>
      </w:pPr>
      <w:r>
        <w:rPr>
          <w:i/>
          <w:color w:val="595959"/>
          <w:sz w:val="18"/>
        </w:rPr>
        <w:t>Fração de água liberável na regeneração</w:t>
      </w:r>
    </w:p>
    <w:p>
      <w:pPr>
        <w:spacing w:after="80" w:line="276" w:lineRule="auto"/>
      </w:pPr>
      <w:r>
        <w:rPr>
          <w:i w:val="0"/>
        </w:rPr>
        <w:t>A destilação em vidraria é modelada pela equação de Rayleigh, que descreve a variação de composição do líquido residual na destilação diferencial [5]:</w:t>
      </w:r>
    </w:p>
    <w:p>
      <w:pPr>
        <w:spacing w:before="120" w:after="40"/>
        <w:jc w:val="center"/>
      </w:pPr>
      <w:r>
        <w:rPr>
          <w:rFonts w:ascii="Cambria Math" w:hAnsi="Cambria Math"/>
          <w:b/>
          <w:color w:val="1E3A5F"/>
          <w:sz w:val="22"/>
        </w:rPr>
        <w:t>ln( W / W₀ ) = ∫ ( dx / (y* − x) )</w:t>
      </w:r>
    </w:p>
    <w:p>
      <w:pPr>
        <w:spacing w:after="80"/>
        <w:jc w:val="center"/>
      </w:pPr>
      <w:r>
        <w:rPr>
          <w:i/>
          <w:color w:val="595959"/>
          <w:sz w:val="18"/>
        </w:rPr>
        <w:t>Equação de Rayleigh (W = massa no balanço; y* = composição do vapor)</w:t>
      </w:r>
    </w:p>
    <w:p>
      <w:pPr>
        <w:spacing w:after="80" w:line="276" w:lineRule="auto"/>
      </w:pPr>
      <w:r>
        <w:rPr>
          <w:i w:val="0"/>
        </w:rPr>
        <w:t>Neste sistema, o "resíduo" é água salina no leito e o "destilado" é o vapor condensado; a eficiência de condensação mede o aproveitamento limpo:</w:t>
      </w:r>
    </w:p>
    <w:p>
      <w:pPr>
        <w:spacing w:before="120" w:after="40"/>
        <w:jc w:val="center"/>
      </w:pPr>
      <w:r>
        <w:rPr>
          <w:rFonts w:ascii="Cambria Math" w:hAnsi="Cambria Math"/>
          <w:b/>
          <w:color w:val="1E3A5F"/>
          <w:sz w:val="22"/>
        </w:rPr>
        <w:t>η_dest = m_condensado / m_vapor   (η_dest ≈ 0,92)</w:t>
      </w:r>
    </w:p>
    <w:p>
      <w:pPr>
        <w:spacing w:after="80"/>
        <w:jc w:val="center"/>
      </w:pPr>
      <w:r>
        <w:rPr>
          <w:i/>
          <w:color w:val="595959"/>
          <w:sz w:val="18"/>
        </w:rPr>
        <w:t>Eficiência de destilação</w:t>
      </w:r>
    </w:p>
    <w:p>
      <w:pPr>
        <w:spacing w:after="80" w:line="276" w:lineRule="auto"/>
      </w:pPr>
      <w:r>
        <w:rPr>
          <w:i w:val="0"/>
        </w:rPr>
        <w:t>O trocador de calor passivo da vidraria é dimensionado pela diferença média logarítmica de temperatura (LMTD) [4]:</w:t>
      </w:r>
    </w:p>
    <w:p>
      <w:pPr>
        <w:spacing w:before="120" w:after="40"/>
        <w:jc w:val="center"/>
      </w:pPr>
      <w:r>
        <w:rPr>
          <w:rFonts w:ascii="Cambria Math" w:hAnsi="Cambria Math"/>
          <w:b/>
          <w:color w:val="1E3A5F"/>
          <w:sz w:val="22"/>
        </w:rPr>
        <w:t>ΔT_lm = (ΔT₁ − ΔT₂) / ln(ΔT₁/ΔT₂)   e   Q̇ = U · A · ΔT_lm</w:t>
      </w:r>
    </w:p>
    <w:p>
      <w:pPr>
        <w:spacing w:after="80"/>
        <w:jc w:val="center"/>
      </w:pPr>
      <w:r>
        <w:rPr>
          <w:i/>
          <w:color w:val="595959"/>
          <w:sz w:val="18"/>
        </w:rPr>
        <w:t>LMTD e taxa de troca térmica</w:t>
      </w:r>
    </w:p>
    <w:p>
      <w:pPr>
        <w:spacing w:after="80" w:line="276" w:lineRule="auto"/>
      </w:pPr>
      <w:r>
        <w:rPr>
          <w:i w:val="0"/>
        </w:rPr>
        <w:t>Números adimensionais orientam o projeto do escoamento e da convecção no leito e no condensador [4]:</w:t>
      </w:r>
    </w:p>
    <w:p>
      <w:pPr>
        <w:spacing w:before="120" w:after="40"/>
        <w:jc w:val="center"/>
      </w:pPr>
      <w:r>
        <w:rPr>
          <w:rFonts w:ascii="Cambria Math" w:hAnsi="Cambria Math"/>
          <w:b/>
          <w:color w:val="1E3A5F"/>
          <w:sz w:val="22"/>
        </w:rPr>
        <w:t>Re = ρ v L / μ,    Nu = h L / k,    Pr = μ c_p / k</w:t>
      </w:r>
    </w:p>
    <w:p>
      <w:pPr>
        <w:spacing w:after="80"/>
        <w:jc w:val="center"/>
      </w:pPr>
      <w:r>
        <w:rPr>
          <w:i/>
          <w:color w:val="595959"/>
          <w:sz w:val="18"/>
        </w:rPr>
        <w:t>Reynolds, Nusselt e Prandtl</w:t>
      </w:r>
    </w:p>
    <w:p>
      <w:pPr>
        <w:pStyle w:val="Heading2"/>
        <w:spacing w:before="240" w:after="120"/>
      </w:pPr>
      <w:r>
        <w:t>2.4 Pós-tratamento: mineralização e esterilização UV-C</w:t>
      </w:r>
    </w:p>
    <w:p>
      <w:pPr>
        <w:spacing w:after="80" w:line="276" w:lineRule="auto"/>
      </w:pPr>
      <w:r>
        <w:rPr>
          <w:i w:val="0"/>
        </w:rPr>
        <w:t>A água destilada é agressiva (baixa alcalinidade e força iônica) e possui sabor insosso; o filtro mineralizante repõe Ca²⁺ e Mg²⁺ por dissolução controlada de calcita e dolomita, frequentemente assistida por CO₂ [5]:</w:t>
      </w:r>
    </w:p>
    <w:p>
      <w:pPr>
        <w:spacing w:before="120" w:after="40"/>
        <w:jc w:val="center"/>
      </w:pPr>
      <w:r>
        <w:rPr>
          <w:rFonts w:ascii="Cambria" w:hAnsi="Cambria"/>
          <w:b/>
          <w:color w:val="1B5E20"/>
          <w:sz w:val="22"/>
        </w:rPr>
        <w:t>CaCO₃(s) + CO₂(aq) + H₂O(l) ⇌ Ca²⁺(aq) + 2 HCO₃⁻(aq)</w:t>
      </w:r>
    </w:p>
    <w:p>
      <w:pPr>
        <w:spacing w:after="80"/>
        <w:jc w:val="center"/>
      </w:pPr>
      <w:r>
        <w:rPr>
          <w:i/>
          <w:color w:val="595959"/>
          <w:sz w:val="18"/>
        </w:rPr>
        <w:t>Reação: mineralização com calcita (perfil cálcico)</w:t>
      </w:r>
    </w:p>
    <w:p>
      <w:pPr>
        <w:spacing w:before="120" w:after="40"/>
        <w:jc w:val="center"/>
      </w:pPr>
      <w:r>
        <w:rPr>
          <w:rFonts w:ascii="Cambria" w:hAnsi="Cambria"/>
          <w:b/>
          <w:color w:val="1B5E20"/>
          <w:sz w:val="22"/>
        </w:rPr>
        <w:t>CaMg(CO₃)₂(s) + 2 CO₂(aq) + 2 H₂O(l) → Ca²⁺(aq) + Mg²⁺(aq) + 4 HCO₃⁻(aq)</w:t>
      </w:r>
    </w:p>
    <w:p>
      <w:pPr>
        <w:spacing w:after="80"/>
        <w:jc w:val="center"/>
      </w:pPr>
      <w:r>
        <w:rPr>
          <w:i/>
          <w:color w:val="595959"/>
          <w:sz w:val="18"/>
        </w:rPr>
        <w:t>Reação: mineralização com dolomita (perfil Ca/Mg)</w:t>
      </w:r>
    </w:p>
    <w:p>
      <w:pPr>
        <w:spacing w:before="120" w:after="40"/>
        <w:jc w:val="center"/>
      </w:pPr>
      <w:r>
        <w:rPr>
          <w:rFonts w:ascii="Cambria" w:hAnsi="Cambria"/>
          <w:b/>
          <w:color w:val="1B5E20"/>
          <w:sz w:val="22"/>
        </w:rPr>
        <w:t>CaCO₃(s) ⇌ Ca²⁺(aq) + CO₃²⁻(aq)   (K_ps ≈ 3,3·10⁻⁹ a 25 °C)</w:t>
      </w:r>
    </w:p>
    <w:p>
      <w:pPr>
        <w:spacing w:after="80"/>
        <w:jc w:val="center"/>
      </w:pPr>
      <w:r>
        <w:rPr>
          <w:i/>
          <w:color w:val="595959"/>
          <w:sz w:val="18"/>
        </w:rPr>
        <w:t>Reação: equilíbrio de solubilidade (risco de incrustação)</w:t>
      </w:r>
    </w:p>
    <w:p>
      <w:pPr>
        <w:spacing w:after="80" w:line="276" w:lineRule="auto"/>
      </w:pPr>
      <w:r>
        <w:rPr>
          <w:i w:val="0"/>
        </w:rPr>
        <w:t>O potencial de incrustação/corrosão é quantificado pelo índice de saturação de Langelier (LSI), que referencia a água ao equilíbrio carbonato [5]:</w:t>
      </w:r>
    </w:p>
    <w:p>
      <w:pPr>
        <w:spacing w:before="120" w:after="40"/>
        <w:jc w:val="center"/>
      </w:pPr>
      <w:r>
        <w:rPr>
          <w:rFonts w:ascii="Cambria Math" w:hAnsi="Cambria Math"/>
          <w:b/>
          <w:color w:val="1E3A5F"/>
          <w:sz w:val="22"/>
        </w:rPr>
        <w:t>LSI = pH − pH_s,   pH_s = (9,3 + A + B) − (C + D)</w:t>
      </w:r>
    </w:p>
    <w:p>
      <w:pPr>
        <w:spacing w:after="80"/>
        <w:jc w:val="center"/>
      </w:pPr>
      <w:r>
        <w:rPr>
          <w:i/>
          <w:color w:val="595959"/>
          <w:sz w:val="18"/>
        </w:rPr>
        <w:t>Índice de Langelier (LSI ≈ 0 = equilíbrio; &gt; 0 incrustante)</w:t>
      </w:r>
    </w:p>
    <w:p>
      <w:pPr>
        <w:spacing w:after="80" w:line="276" w:lineRule="auto"/>
      </w:pPr>
      <w:r>
        <w:rPr>
          <w:i w:val="0"/>
        </w:rPr>
        <w:t>A desinfecção UV-C segue a lei de Chick–Watson, de primeira ordem na dose e na concentração de microrganismos viáveis [14]:</w:t>
      </w:r>
    </w:p>
    <w:p>
      <w:pPr>
        <w:spacing w:before="120" w:after="40"/>
        <w:jc w:val="center"/>
      </w:pPr>
      <w:r>
        <w:rPr>
          <w:rFonts w:ascii="Cambria Math" w:hAnsi="Cambria Math"/>
          <w:b/>
          <w:color w:val="1E3A5F"/>
          <w:sz w:val="22"/>
        </w:rPr>
        <w:t>N/N₀ = exp( −k_d · D ),   D = I · t   [mJ/cm²]</w:t>
      </w:r>
    </w:p>
    <w:p>
      <w:pPr>
        <w:spacing w:after="80"/>
        <w:jc w:val="center"/>
      </w:pPr>
      <w:r>
        <w:rPr>
          <w:i/>
          <w:color w:val="595959"/>
          <w:sz w:val="18"/>
        </w:rPr>
        <w:t>Lei de Chick–Watson (N = viáveis; D = dose UV)</w:t>
      </w:r>
    </w:p>
    <w:p>
      <w:pPr>
        <w:spacing w:after="80" w:line="276" w:lineRule="auto"/>
      </w:pPr>
      <w:r>
        <w:rPr>
          <w:i w:val="0"/>
        </w:rPr>
        <w:t>A energia do fóton a 254 nm é suficiente para fotólise de dímeros de timina no DNA microbiano:</w:t>
      </w:r>
    </w:p>
    <w:p>
      <w:pPr>
        <w:spacing w:before="120" w:after="40"/>
        <w:jc w:val="center"/>
      </w:pPr>
      <w:r>
        <w:rPr>
          <w:rFonts w:ascii="Cambria Math" w:hAnsi="Cambria Math"/>
          <w:b/>
          <w:color w:val="1E3A5F"/>
          <w:sz w:val="22"/>
        </w:rPr>
        <w:t>E = h c / λ = (6,626·10⁻³⁴ · 3·10⁸) / 254·10⁻⁹ ≈ 4,88 eV</w:t>
      </w:r>
    </w:p>
    <w:p>
      <w:pPr>
        <w:spacing w:after="80"/>
        <w:jc w:val="center"/>
      </w:pPr>
      <w:r>
        <w:rPr>
          <w:i/>
          <w:color w:val="595959"/>
          <w:sz w:val="18"/>
        </w:rPr>
        <w:t>Energia do fóton UV-C (h = Planck; c = velocidade da luz)</w:t>
      </w:r>
    </w:p>
    <w:p>
      <w:pPr>
        <w:spacing w:before="120" w:after="40"/>
        <w:jc w:val="center"/>
      </w:pPr>
      <w:r>
        <w:rPr>
          <w:rFonts w:ascii="Cambria" w:hAnsi="Cambria"/>
          <w:b/>
          <w:color w:val="1B5E20"/>
          <w:sz w:val="22"/>
        </w:rPr>
        <w:t>Timina–Timina → Timina(=)Timina   (dímero de ciclobutano)</w:t>
      </w:r>
    </w:p>
    <w:p>
      <w:pPr>
        <w:spacing w:after="80"/>
        <w:jc w:val="center"/>
      </w:pPr>
      <w:r>
        <w:rPr>
          <w:i/>
          <w:color w:val="595959"/>
          <w:sz w:val="18"/>
        </w:rPr>
        <w:t>Reação: fotoproduto que bloqueia a replicação do DNA</w:t>
      </w:r>
    </w:p>
    <w:p>
      <w:pPr>
        <w:spacing w:after="80" w:line="276" w:lineRule="auto"/>
      </w:pPr>
      <w:r>
        <w:rPr>
          <w:i w:val="0"/>
        </w:rPr>
        <w:t>A água ainda sofre autoionização, cujo equilíbrio define o pH de referência (neutralidade a 25 °C):</w:t>
      </w:r>
    </w:p>
    <w:p>
      <w:pPr>
        <w:spacing w:before="120" w:after="40"/>
        <w:jc w:val="center"/>
      </w:pPr>
      <w:r>
        <w:rPr>
          <w:rFonts w:ascii="Cambria" w:hAnsi="Cambria"/>
          <w:b/>
          <w:color w:val="1B5E20"/>
          <w:sz w:val="22"/>
        </w:rPr>
        <w:t>2 H₂O(l) ⇌ H₃O⁺(aq) + OH⁻(aq),   K_w = 1,0·10⁻¹⁴ a 25 °C</w:t>
      </w:r>
    </w:p>
    <w:p>
      <w:pPr>
        <w:spacing w:after="80"/>
        <w:jc w:val="center"/>
      </w:pPr>
      <w:r>
        <w:rPr>
          <w:i/>
          <w:color w:val="595959"/>
          <w:sz w:val="18"/>
        </w:rPr>
        <w:t>Reação: produto iônico da água (pH neutro = 7,0)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fill="E3F2E3"/>
            <w:tcBorders>
              <w:top w:sz="8" w:val="single" w:color="1E3A5F"/>
              <w:left w:sz="8" w:val="single" w:color="1E3A5F"/>
              <w:bottom w:sz="8" w:val="single" w:color="1E3A5F"/>
              <w:right w:sz="8" w:val="single" w:color="1E3A5F"/>
            </w:tcBorders>
          </w:tcPr>
          <w:p>
            <w:r/>
            <w:r>
              <w:rPr>
                <w:b/>
                <w:color w:val="1E3A5F"/>
              </w:rPr>
              <w:t>Sequência de segurança do pós-tratamento</w:t>
              <w:br/>
            </w:r>
            <w:r>
              <w:rPr>
                <w:sz w:val="20"/>
              </w:rPr>
              <w:t>Destilado → filtro mineralizante (perda de purga ~2 %) → câmara UV-C opaca com intertravamento (dose ≥ 40 mJ/cm²) → bacia de 2 L com torneira. A UV é barreira antimicrobiana e NÃO remove água; seu custo é apenas energético (6 W × 30 min = 10,8 kJ/ciclo).</w:t>
            </w:r>
          </w:p>
        </w:tc>
      </w:tr>
    </w:tbl>
    <w:p/>
    <w:p>
      <w:r>
        <w:br w:type="page"/>
      </w:r>
    </w:p>
    <w:p>
      <w:pPr>
        <w:pStyle w:val="Heading1"/>
        <w:spacing w:before="240" w:after="120"/>
      </w:pPr>
      <w:r>
        <w:t>3 Materiais e Métodos</w:t>
      </w:r>
    </w:p>
    <w:p>
      <w:pPr>
        <w:pStyle w:val="Heading2"/>
        <w:spacing w:before="240" w:after="120"/>
      </w:pPr>
      <w:r>
        <w:t>3.1 Arquitetura do sistema e máquina de estados</w:t>
      </w:r>
    </w:p>
    <w:p>
      <w:pPr>
        <w:spacing w:after="80" w:line="276" w:lineRule="auto"/>
      </w:pPr>
      <w:r>
        <w:rPr>
          <w:i w:val="0"/>
        </w:rPr>
        <w:t>O sistema físico é organizado em cinco subsistemas: captação de ar (ventiladores + pré-filtro de poeira), leito de sorção (CaCl₂), comutação por servo-registro, regeneração/destilação (solenoide + vidraria) e pós-tratamento/armazenamento (filtro + UV + bacia com torneira). O controle embarcado segue o padrão MVC sobre a Máquina de Estados Finitos (FSM) abaixo, evitando qualquer alocação dinâmica de memória [17]: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247"/>
            <w:shd w:val="clear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3402"/>
            <w:shd w:val="clear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Descrição</w:t>
            </w:r>
          </w:p>
        </w:tc>
        <w:tc>
          <w:tcPr>
            <w:tcW w:type="dxa" w:w="1474"/>
            <w:shd w:val="clear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Transição de saída</w:t>
            </w:r>
          </w:p>
        </w:tc>
        <w:tc>
          <w:tcPr>
            <w:tcW w:type="dxa" w:w="2608"/>
            <w:shd w:val="clear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Evento</w:t>
            </w:r>
          </w:p>
        </w:tc>
      </w:tr>
      <w:tr>
        <w:tc>
          <w:tcPr>
            <w:tcW w:type="dxa" w:w="1247"/>
            <w:shd w:val="clear" w:fill="F7F9FB"/>
          </w:tcPr>
          <w:p>
            <w:r/>
            <w:r>
              <w:rPr>
                <w:b w:val="0"/>
                <w:sz w:val="16"/>
              </w:rPr>
              <w:t>OCIOSO</w:t>
            </w:r>
          </w:p>
        </w:tc>
        <w:tc>
          <w:tcPr>
            <w:tcW w:type="dxa" w:w="3402"/>
            <w:shd w:val="clear" w:fill="F7F9FB"/>
          </w:tcPr>
          <w:p>
            <w:r/>
            <w:r>
              <w:rPr>
                <w:b w:val="0"/>
                <w:sz w:val="16"/>
              </w:rPr>
              <w:t>Aguarda noite / botão SELECT</w:t>
            </w:r>
          </w:p>
        </w:tc>
        <w:tc>
          <w:tcPr>
            <w:tcW w:type="dxa" w:w="1474"/>
            <w:shd w:val="clear" w:fill="F7F9FB"/>
          </w:tcPr>
          <w:p>
            <w:r/>
            <w:r>
              <w:rPr>
                <w:b w:val="0"/>
                <w:sz w:val="16"/>
              </w:rPr>
              <w:t>INTAKE</w:t>
            </w:r>
          </w:p>
        </w:tc>
        <w:tc>
          <w:tcPr>
            <w:tcW w:type="dxa" w:w="2608"/>
            <w:shd w:val="clear" w:fill="F7F9FB"/>
          </w:tcPr>
          <w:p>
            <w:r/>
            <w:r>
              <w:rPr>
                <w:b w:val="0"/>
                <w:sz w:val="16"/>
              </w:rPr>
              <w:t>SELECT ou agendamento</w:t>
            </w:r>
          </w:p>
        </w:tc>
      </w:tr>
      <w:tr>
        <w:tc>
          <w:tcPr>
            <w:tcW w:type="dxa" w:w="1247"/>
          </w:tcPr>
          <w:p>
            <w:r/>
            <w:r>
              <w:rPr>
                <w:b w:val="0"/>
                <w:sz w:val="16"/>
              </w:rPr>
              <w:t>INTAKE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6"/>
              </w:rPr>
              <w:t>Ventoinhas 100 %; leito sorve água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6"/>
              </w:rPr>
              <w:t>REGEN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6"/>
              </w:rPr>
              <w:t>m ≥ M·q ou fim da janela</w:t>
            </w:r>
          </w:p>
        </w:tc>
      </w:tr>
      <w:tr>
        <w:tc>
          <w:tcPr>
            <w:tcW w:type="dxa" w:w="1247"/>
            <w:shd w:val="clear" w:fill="F7F9FB"/>
          </w:tcPr>
          <w:p>
            <w:r/>
            <w:r>
              <w:rPr>
                <w:b w:val="0"/>
                <w:sz w:val="16"/>
              </w:rPr>
              <w:t>REGEN</w:t>
            </w:r>
          </w:p>
        </w:tc>
        <w:tc>
          <w:tcPr>
            <w:tcW w:type="dxa" w:w="3402"/>
            <w:shd w:val="clear" w:fill="F7F9FB"/>
          </w:tcPr>
          <w:p>
            <w:r/>
            <w:r>
              <w:rPr>
                <w:b w:val="0"/>
                <w:sz w:val="16"/>
              </w:rPr>
              <w:t>Solenoide 120 °C; servo fecha ar</w:t>
            </w:r>
          </w:p>
        </w:tc>
        <w:tc>
          <w:tcPr>
            <w:tcW w:type="dxa" w:w="1474"/>
            <w:shd w:val="clear" w:fill="F7F9FB"/>
          </w:tcPr>
          <w:p>
            <w:r/>
            <w:r>
              <w:rPr>
                <w:b w:val="0"/>
                <w:sz w:val="16"/>
              </w:rPr>
              <w:t>DESTIL</w:t>
            </w:r>
          </w:p>
        </w:tc>
        <w:tc>
          <w:tcPr>
            <w:tcW w:type="dxa" w:w="2608"/>
            <w:shd w:val="clear" w:fill="F7F9FB"/>
          </w:tcPr>
          <w:p>
            <w:r/>
            <w:r>
              <w:rPr>
                <w:b w:val="0"/>
                <w:sz w:val="16"/>
              </w:rPr>
              <w:t>m ≤ 0,05 kg ou tempo máx.</w:t>
            </w:r>
          </w:p>
        </w:tc>
      </w:tr>
      <w:tr>
        <w:tc>
          <w:tcPr>
            <w:tcW w:type="dxa" w:w="1247"/>
          </w:tcPr>
          <w:p>
            <w:r/>
            <w:r>
              <w:rPr>
                <w:b w:val="0"/>
                <w:sz w:val="16"/>
              </w:rPr>
              <w:t>DESTIL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6"/>
              </w:rPr>
              <w:t>Vapor → vidraria → filtro + UV → bacia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6"/>
              </w:rPr>
              <w:t>CHEIO/OCIOSO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6"/>
              </w:rPr>
              <w:t>bacia 2 L / fim do leito</w:t>
            </w:r>
          </w:p>
        </w:tc>
      </w:tr>
      <w:tr>
        <w:tc>
          <w:tcPr>
            <w:tcW w:type="dxa" w:w="1247"/>
            <w:shd w:val="clear" w:fill="F7F9FB"/>
          </w:tcPr>
          <w:p>
            <w:r/>
            <w:r>
              <w:rPr>
                <w:b w:val="0"/>
                <w:sz w:val="16"/>
              </w:rPr>
              <w:t>CHEIO</w:t>
            </w:r>
          </w:p>
        </w:tc>
        <w:tc>
          <w:tcPr>
            <w:tcW w:type="dxa" w:w="3402"/>
            <w:shd w:val="clear" w:fill="F7F9FB"/>
          </w:tcPr>
          <w:p>
            <w:r/>
            <w:r>
              <w:rPr>
                <w:b w:val="0"/>
                <w:sz w:val="16"/>
              </w:rPr>
              <w:t>Bacia cheia; aguarda esvaziamento</w:t>
            </w:r>
          </w:p>
        </w:tc>
        <w:tc>
          <w:tcPr>
            <w:tcW w:type="dxa" w:w="1474"/>
            <w:shd w:val="clear" w:fill="F7F9FB"/>
          </w:tcPr>
          <w:p>
            <w:r/>
            <w:r>
              <w:rPr>
                <w:b w:val="0"/>
                <w:sz w:val="16"/>
              </w:rPr>
              <w:t>OCIOSO</w:t>
            </w:r>
          </w:p>
        </w:tc>
        <w:tc>
          <w:tcPr>
            <w:tcW w:type="dxa" w:w="2608"/>
            <w:shd w:val="clear" w:fill="F7F9FB"/>
          </w:tcPr>
          <w:p>
            <w:r/>
            <w:r>
              <w:rPr>
                <w:b w:val="0"/>
                <w:sz w:val="16"/>
              </w:rPr>
              <w:t>SELECT</w:t>
            </w:r>
          </w:p>
        </w:tc>
      </w:tr>
      <w:tr>
        <w:tc>
          <w:tcPr>
            <w:tcW w:type="dxa" w:w="1247"/>
          </w:tcPr>
          <w:p>
            <w:r/>
            <w:r>
              <w:rPr>
                <w:b w:val="0"/>
                <w:sz w:val="16"/>
              </w:rPr>
              <w:t>ERRO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6"/>
              </w:rPr>
              <w:t>Falha de sensor/superaquecimento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6"/>
              </w:rPr>
              <w:t>OCIOSO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6"/>
              </w:rPr>
              <w:t>sensores OK + SELECT</w:t>
            </w:r>
          </w:p>
        </w:tc>
      </w:tr>
    </w:tbl>
    <w:p/>
    <w:p>
      <w:pPr>
        <w:spacing w:after="80" w:line="276" w:lineRule="auto"/>
      </w:pPr>
      <w:r>
        <w:rPr>
          <w:i w:val="0"/>
        </w:rPr>
        <w:t>A pinagem é única fonte de verdade e coincide com o esquemático elétrico (Apêndice C). O firmware é C++20, sem `String` dinâmica (tudo `F()`/PROGMEM) e com log `LOG_*` de cada transição, de modo que toda decisão da FSM seja auditável em campo.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98284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nder_3d_conceit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982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4 — Vista 3D conceitual do dispositivo (carcaça 34 × 24 × 32 cm).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6445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class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44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5 — Diagrama de classes do núcleo de simulação.</w:t>
      </w:r>
    </w:p>
    <w:p>
      <w:pPr>
        <w:pStyle w:val="Heading2"/>
        <w:spacing w:before="240" w:after="120"/>
      </w:pPr>
      <w:r>
        <w:t>3.2 Núcleo de simulação e discretização</w:t>
      </w:r>
    </w:p>
    <w:p>
      <w:pPr>
        <w:spacing w:after="80" w:line="276" w:lineRule="auto"/>
      </w:pPr>
      <w:r>
        <w:rPr>
          <w:i w:val="0"/>
        </w:rPr>
        <w:t>O núcleo físico é um cabeçalho C++23 livre de dependências (`tupan_core.hpp`), consumido por cinco clientes: CLI, GUI Qt5, módulo pybind11, servidor Flask e firmware (via espelho de fórmulas). A integração temporal usa passo analítico fechado para a sorção (solução exata da EDO) e passo discreto explícito para a energia, com conservação de massa verificada por teste:</w:t>
      </w:r>
    </w:p>
    <w:p>
      <w:pPr>
        <w:spacing w:before="120" w:after="40"/>
        <w:jc w:val="center"/>
      </w:pPr>
      <w:r>
        <w:rPr>
          <w:rFonts w:ascii="Cambria Math" w:hAnsi="Cambria Math"/>
          <w:b/>
          <w:color w:val="1E3A5F"/>
          <w:sz w:val="22"/>
        </w:rPr>
        <w:t>m_{n+1} = m_n + Δt · k (M q − m_n)</w:t>
      </w:r>
    </w:p>
    <w:p>
      <w:pPr>
        <w:spacing w:after="80"/>
        <w:jc w:val="center"/>
      </w:pPr>
      <w:r>
        <w:rPr>
          <w:i/>
          <w:color w:val="595959"/>
          <w:sz w:val="18"/>
        </w:rPr>
        <w:t>Discretização Euler explícita (equivalente à solução fechada em 1ª ordem)</w:t>
      </w:r>
    </w:p>
    <w:p>
      <w:pPr>
        <w:spacing w:after="80" w:line="276" w:lineRule="auto"/>
      </w:pPr>
      <w:r>
        <w:rPr>
          <w:i w:val="0"/>
        </w:rPr>
        <w:t>A energia do ciclo decompõe-se de forma auditável (ventoinhas, solenoide, eletrônica e UV-C):</w:t>
      </w:r>
    </w:p>
    <w:p>
      <w:pPr>
        <w:spacing w:before="120" w:after="40"/>
        <w:jc w:val="center"/>
      </w:pPr>
      <w:r>
        <w:rPr>
          <w:rFonts w:ascii="Cambria Math" w:hAnsi="Cambria Math"/>
          <w:b/>
          <w:color w:val="1E3A5F"/>
          <w:sz w:val="22"/>
        </w:rPr>
        <w:t>E_ciclo = (P_fans·t_noite + P_sol·t_dia + P_ele·24 + P_uv·t_uv)</w:t>
      </w:r>
    </w:p>
    <w:p>
      <w:pPr>
        <w:spacing w:after="80"/>
        <w:jc w:val="center"/>
      </w:pPr>
      <w:r>
        <w:rPr>
          <w:i/>
          <w:color w:val="595959"/>
          <w:sz w:val="18"/>
        </w:rPr>
        <w:t>Energia total do ciclo (kWh após /1000)</w:t>
      </w:r>
    </w:p>
    <w:p>
      <w:pPr>
        <w:spacing w:before="120" w:after="40"/>
        <w:jc w:val="center"/>
      </w:pPr>
      <w:r>
        <w:rPr>
          <w:rFonts w:ascii="Cambria Math" w:hAnsi="Cambria Math"/>
          <w:b/>
          <w:color w:val="1E3A5F"/>
          <w:sz w:val="22"/>
        </w:rPr>
        <w:t>η_hídrica = V_potável / E_ciclo   [L/kWh]</w:t>
      </w:r>
    </w:p>
    <w:p>
      <w:pPr>
        <w:spacing w:after="80"/>
        <w:jc w:val="center"/>
      </w:pPr>
      <w:r>
        <w:rPr>
          <w:i/>
          <w:color w:val="595959"/>
          <w:sz w:val="18"/>
        </w:rPr>
        <w:t>Eficiência energético-hídrica (conta ambiental)</w:t>
      </w:r>
    </w:p>
    <w:p>
      <w:pPr>
        <w:pStyle w:val="Heading2"/>
        <w:spacing w:before="240" w:after="120"/>
      </w:pPr>
      <w:r>
        <w:t>3.3 Método de Monte Carlo e geração pseudoaleatória</w:t>
      </w:r>
    </w:p>
    <w:p>
      <w:pPr>
        <w:spacing w:after="80" w:line="276" w:lineRule="auto"/>
      </w:pPr>
      <w:r>
        <w:rPr>
          <w:i w:val="0"/>
        </w:rPr>
        <w:t>Para propagar a incerteza do ruído multiplicativo (±5 %), emprega-se integração de Monte Carlo [9]. O estimador da média e sua incerteza padrão, sob o Teorema Central do Limite, são:</w:t>
      </w:r>
    </w:p>
    <w:p>
      <w:pPr>
        <w:spacing w:before="120" w:after="40"/>
        <w:jc w:val="center"/>
      </w:pPr>
      <w:r>
        <w:rPr>
          <w:rFonts w:ascii="Cambria Math" w:hAnsi="Cambria Math"/>
          <w:b/>
          <w:color w:val="1E3A5F"/>
          <w:sz w:val="22"/>
        </w:rPr>
        <w:t>μ̂ = (1/N) Σ_{i=1..N} x_i,    σ̂² = (1/(N−1)) Σ (x_i − μ̂)²</w:t>
      </w:r>
    </w:p>
    <w:p>
      <w:pPr>
        <w:spacing w:after="80"/>
        <w:jc w:val="center"/>
      </w:pPr>
      <w:r>
        <w:rPr>
          <w:i/>
          <w:color w:val="595959"/>
          <w:sz w:val="18"/>
        </w:rPr>
        <w:t>Estimadores de Monte Carlo (média e variância amostral)</w:t>
      </w:r>
    </w:p>
    <w:p>
      <w:pPr>
        <w:spacing w:before="120" w:after="40"/>
        <w:jc w:val="center"/>
      </w:pPr>
      <w:r>
        <w:rPr>
          <w:rFonts w:ascii="Cambria Math" w:hAnsi="Cambria Math"/>
          <w:b/>
          <w:color w:val="1E3A5F"/>
          <w:sz w:val="22"/>
        </w:rPr>
        <w:t>erro padrão ≈ σ̂ / √N</w:t>
      </w:r>
    </w:p>
    <w:p>
      <w:pPr>
        <w:spacing w:after="80"/>
        <w:jc w:val="center"/>
      </w:pPr>
      <w:r>
        <w:rPr>
          <w:i/>
          <w:color w:val="595959"/>
          <w:sz w:val="18"/>
        </w:rPr>
        <w:t>Convergência O(N^(−1/2)) do estimador</w:t>
      </w:r>
    </w:p>
    <w:p>
      <w:pPr>
        <w:spacing w:after="80" w:line="276" w:lineRule="auto"/>
      </w:pPr>
      <w:r>
        <w:rPr>
          <w:i w:val="0"/>
        </w:rPr>
        <w:t>Os percentis p05, p50 e p95 são obtidos por interpolação linear da distribuição ordenada, viabilizando análise de risco agrícola/hídrico (probabilidade de ciclos improdutivos):</w:t>
      </w:r>
    </w:p>
    <w:p>
      <w:pPr>
        <w:spacing w:before="120" w:after="40"/>
        <w:jc w:val="center"/>
      </w:pPr>
      <w:r>
        <w:rPr>
          <w:rFonts w:ascii="Cambria Math" w:hAnsi="Cambria Math"/>
          <w:b/>
          <w:color w:val="1E3A5F"/>
          <w:sz w:val="22"/>
        </w:rPr>
        <w:t>idx = q·(N − 1);   x_q = x_⌊idx⌋ + (idx − ⌊idx⌋)(x_⌈idx⌉ − x_⌊idx⌋)</w:t>
      </w:r>
    </w:p>
    <w:p>
      <w:pPr>
        <w:spacing w:after="80"/>
        <w:jc w:val="center"/>
      </w:pPr>
      <w:r>
        <w:rPr>
          <w:i/>
          <w:color w:val="595959"/>
          <w:sz w:val="18"/>
        </w:rPr>
        <w:t>Interpolação de percentil (quantil amostral)</w:t>
      </w:r>
    </w:p>
    <w:p>
      <w:pPr>
        <w:spacing w:after="80" w:line="276" w:lineRule="auto"/>
      </w:pPr>
      <w:r>
        <w:rPr>
          <w:i w:val="0"/>
        </w:rPr>
        <w:t>O gerador pseudoaleatório é o xorshift64*, escolhido por determinismo, velocidade e período longo [10]: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fill="F5F5F5"/>
            <w:tcBorders>
              <w:top w:sz="6" w:val="single" w:color="B0B0B0"/>
              <w:left w:sz="6" w:val="single" w:color="B0B0B0"/>
              <w:bottom w:sz="6" w:val="single" w:color="B0B0B0"/>
              <w:right w:sz="6" w:val="single" w:color="B0B0B0"/>
            </w:tcBorders>
          </w:tcPr>
          <w:p>
            <w:r/>
            <w:r>
              <w:rPr>
                <w:rFonts w:ascii="Courier New" w:hAnsi="Courier New"/>
                <w:sz w:val="17"/>
              </w:rPr>
              <w:t>state ^= state &gt;&gt; 12;  state ^= state &lt;&lt; 25;  state ^= state &gt;&gt; 27;</w:t>
              <w:br/>
            </w:r>
            <w:r>
              <w:rPr>
                <w:rFonts w:ascii="Courier New" w:hAnsi="Courier New"/>
                <w:sz w:val="17"/>
              </w:rPr>
              <w:t>return state * 0x2545F4914F6CDD1DULL;</w:t>
              <w:br/>
            </w:r>
          </w:p>
        </w:tc>
      </w:tr>
    </w:tbl>
    <w:p>
      <w:pPr>
        <w:jc w:val="center"/>
      </w:pPr>
      <w:r>
        <w:rPr>
          <w:i/>
          <w:color w:val="595959"/>
          <w:sz w:val="18"/>
        </w:rPr>
        <w:t>Quadro 1 — Núcleo do PRNG xorshift64* (mesma semente ⇒ mesma saída).</w:t>
      </w:r>
    </w:p>
    <w:p>
      <w:pPr>
        <w:pStyle w:val="Heading2"/>
        <w:spacing w:before="240" w:after="120"/>
      </w:pPr>
      <w:r>
        <w:t>3.4 Modelo de aprendizado de máquina em streaming</w:t>
      </w:r>
    </w:p>
    <w:p>
      <w:pPr>
        <w:spacing w:after="80" w:line="276" w:lineRule="auto"/>
      </w:pPr>
      <w:r>
        <w:rPr>
          <w:i w:val="0"/>
        </w:rPr>
        <w:t>O preditor é uma regressão ridge de grau 2 estimada pelas equações normais regularizadas [13]:</w:t>
      </w:r>
    </w:p>
    <w:p>
      <w:pPr>
        <w:spacing w:before="120" w:after="40"/>
        <w:jc w:val="center"/>
      </w:pPr>
      <w:r>
        <w:rPr>
          <w:rFonts w:ascii="Cambria Math" w:hAnsi="Cambria Math"/>
          <w:b/>
          <w:color w:val="1E3A5F"/>
          <w:sz w:val="22"/>
        </w:rPr>
        <w:t>w = (XᵀX + λ I)^(−1) Xᵀ y,   λ = 10⁻⁹</w:t>
      </w:r>
    </w:p>
    <w:p>
      <w:pPr>
        <w:spacing w:after="80"/>
        <w:jc w:val="center"/>
      </w:pPr>
      <w:r>
        <w:rPr>
          <w:i/>
          <w:color w:val="595959"/>
          <w:sz w:val="18"/>
        </w:rPr>
        <w:t>Solução ridge (λ evita singularidade e sobreajuste)</w:t>
      </w:r>
    </w:p>
    <w:p>
      <w:pPr>
        <w:spacing w:after="80" w:line="276" w:lineRule="auto"/>
      </w:pPr>
      <w:r>
        <w:rPr>
          <w:i w:val="0"/>
        </w:rPr>
        <w:t>As features polinomiais até grau 2 de x = {UR, T, vazão, η, T_aq} geram 20 termos; somam-se três features de engenharia com significado físico, o que introduz os "kinks" da física no modelo linear:</w:t>
      </w:r>
    </w:p>
    <w:p>
      <w:pPr>
        <w:spacing w:before="120" w:after="40"/>
        <w:jc w:val="center"/>
      </w:pPr>
      <w:r>
        <w:rPr>
          <w:rFonts w:ascii="Cambria Math" w:hAnsi="Cambria Math"/>
          <w:b/>
          <w:color w:val="1E3A5F"/>
          <w:sz w:val="22"/>
        </w:rPr>
        <w:t>f_ur = (UR/100)·ρ_v(T)/30;   f_sat = m_leito/(M q);   f_lib = clamp01((T_aq − 80)/40)</w:t>
      </w:r>
    </w:p>
    <w:p>
      <w:pPr>
        <w:spacing w:after="80"/>
        <w:jc w:val="center"/>
      </w:pPr>
      <w:r>
        <w:rPr>
          <w:i/>
          <w:color w:val="595959"/>
          <w:sz w:val="18"/>
        </w:rPr>
        <w:t>Features de engenharia (conteúdo de vapor, saturação e liberação)</w:t>
      </w:r>
    </w:p>
    <w:p>
      <w:pPr>
        <w:spacing w:after="80" w:line="276" w:lineRule="auto"/>
      </w:pPr>
      <w:r>
        <w:rPr>
          <w:i w:val="0"/>
        </w:rPr>
        <w:t>O treinamento acumula os produtos XᵀX e Xᵀy em streaming — nenhuma amostra é armazenada — e a avaliação reporta RMSE e R²:</w:t>
      </w:r>
    </w:p>
    <w:p>
      <w:pPr>
        <w:spacing w:before="120" w:after="40"/>
        <w:jc w:val="center"/>
      </w:pPr>
      <w:r>
        <w:rPr>
          <w:rFonts w:ascii="Cambria Math" w:hAnsi="Cambria Math"/>
          <w:b/>
          <w:color w:val="1E3A5F"/>
          <w:sz w:val="22"/>
        </w:rPr>
        <w:t>RMSE = √( (1/n)Σ(y_i − ŷ_i)² ),   R² = 1 − SSE/SST</w:t>
      </w:r>
    </w:p>
    <w:p>
      <w:pPr>
        <w:spacing w:after="80"/>
        <w:jc w:val="center"/>
      </w:pPr>
      <w:r>
        <w:rPr>
          <w:i/>
          <w:color w:val="595959"/>
          <w:sz w:val="18"/>
        </w:rPr>
        <w:t>Métricas de erro e coeficiente de determinação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fill="F5F5F5"/>
            <w:tcBorders>
              <w:top w:sz="6" w:val="single" w:color="B0B0B0"/>
              <w:left w:sz="6" w:val="single" w:color="B0B0B0"/>
              <w:bottom w:sz="6" w:val="single" w:color="B0B0B0"/>
              <w:right w:sz="6" w:val="single" w:color="B0B0B0"/>
            </w:tcBorders>
          </w:tcPr>
          <w:p>
            <w:r/>
            <w:r>
              <w:rPr>
                <w:rFonts w:ascii="Courier New" w:hAnsi="Courier New"/>
                <w:sz w:val="17"/>
              </w:rPr>
              <w:t>for (int n = 0; n &lt; N; ++n) {</w:t>
              <w:br/>
            </w:r>
            <w:r>
              <w:rPr>
                <w:rFonts w:ascii="Courier New" w:hAnsi="Courier New"/>
                <w:sz w:val="17"/>
              </w:rPr>
              <w:t xml:space="preserve">    auto phi = features(x);            // 23 features</w:t>
              <w:br/>
            </w:r>
            <w:r>
              <w:rPr>
                <w:rFonts w:ascii="Courier New" w:hAnsi="Courier New"/>
                <w:sz w:val="17"/>
              </w:rPr>
              <w:t xml:space="preserve">    for (i) { b[i] += a[i]*y; for (j) M[i][j] += a[i]*a[j]; }</w:t>
              <w:br/>
            </w:r>
            <w:r>
              <w:rPr>
                <w:rFonts w:ascii="Courier New" w:hAnsi="Courier New"/>
                <w:sz w:val="17"/>
              </w:rPr>
              <w:t>}</w:t>
              <w:br/>
            </w:r>
            <w:r>
              <w:rPr>
                <w:rFonts w:ascii="Courier New" w:hAnsi="Courier New"/>
                <w:sz w:val="17"/>
              </w:rPr>
              <w:t>for (i) M[i][i] += lambda_ridge;       // regularização</w:t>
              <w:br/>
            </w:r>
            <w:r>
              <w:rPr>
                <w:rFonts w:ascii="Courier New" w:hAnsi="Courier New"/>
                <w:sz w:val="17"/>
              </w:rPr>
              <w:t>// eliminação de Gauss com pivoteamento parcial:</w:t>
              <w:br/>
            </w:r>
            <w:r>
              <w:rPr>
                <w:rFonts w:ascii="Courier New" w:hAnsi="Courier New"/>
                <w:sz w:val="17"/>
              </w:rPr>
              <w:t>w = solve(M, b);</w:t>
              <w:br/>
            </w:r>
          </w:p>
        </w:tc>
      </w:tr>
    </w:tbl>
    <w:p>
      <w:pPr>
        <w:jc w:val="center"/>
      </w:pPr>
      <w:r>
        <w:rPr>
          <w:i/>
          <w:color w:val="595959"/>
          <w:sz w:val="18"/>
        </w:rPr>
        <w:t>Quadro 2 — Treino em streaming (XᵀX/Xᵀy) e solução por Gauss.</w:t>
      </w:r>
    </w:p>
    <w:p>
      <w:pPr>
        <w:pStyle w:val="Heading2"/>
        <w:spacing w:before="240" w:after="120"/>
      </w:pPr>
      <w:r>
        <w:t>3.5 Dados climáticos e esteira de análise</w:t>
      </w:r>
    </w:p>
    <w:p>
      <w:pPr>
        <w:spacing w:after="80" w:line="276" w:lineRule="auto"/>
      </w:pPr>
      <w:r>
        <w:rPr>
          <w:i w:val="0"/>
        </w:rPr>
        <w:t>A esteira de dados (`tools/pipeline/analise_dados.py`) ingere 14.616 horas de reanálise ERA5/Open-Meteo [1] para Petrolina-PE (9,39° S; 40,50° O), cobrindo variáveis horárias de umidade relativa e temperatura. As estatísticas noturnas (20h–06h) alimentam as condições de contorno do núcleo; a projeção anual usa agregação horária ponderada. O custo de energia é calculado por:</w:t>
      </w:r>
    </w:p>
    <w:p>
      <w:pPr>
        <w:spacing w:before="120" w:after="40"/>
        <w:jc w:val="center"/>
      </w:pPr>
      <w:r>
        <w:rPr>
          <w:rFonts w:ascii="Cambria Math" w:hAnsi="Cambria Math"/>
          <w:b/>
          <w:color w:val="1E3A5F"/>
          <w:sz w:val="22"/>
        </w:rPr>
        <w:t>C = E_ano · (τ + β) · (1 − δ),   E_ano = E_ciclo · 365</w:t>
      </w:r>
    </w:p>
    <w:p>
      <w:pPr>
        <w:spacing w:after="80"/>
        <w:jc w:val="center"/>
      </w:pPr>
      <w:r>
        <w:rPr>
          <w:i/>
          <w:color w:val="595959"/>
          <w:sz w:val="18"/>
        </w:rPr>
        <w:t>Custo anual (τ = tarifa média; β = bandeira; δ = desconto TSEE)</w:t>
      </w:r>
    </w:p>
    <w:p>
      <w:pPr>
        <w:spacing w:after="80" w:line="276" w:lineRule="auto"/>
      </w:pPr>
      <w:r>
        <w:rPr>
          <w:i w:val="0"/>
        </w:rPr>
        <w:t>Premissas: τ = R$ 0,95/kWh (média residencial faturada, com tributos); bandeiras ANEEL em R$/MWh (vermelha P1 = 4,463; P2 = 7,877) [27]; TSEE = 65 % de desconto para consumo ≤ 80 kWh/mês [24]. A escala de adoção agrega N unidades sequencialmente:</w:t>
      </w:r>
    </w:p>
    <w:p>
      <w:pPr>
        <w:spacing w:before="120" w:after="40"/>
        <w:jc w:val="center"/>
      </w:pPr>
      <w:r>
        <w:rPr>
          <w:rFonts w:ascii="Cambria Math" w:hAnsi="Cambria Math"/>
          <w:b/>
          <w:color w:val="1E3A5F"/>
          <w:sz w:val="22"/>
        </w:rPr>
        <w:t>V_total = N · v · 365;   E_total = N · E_ciclo · 365;   M_sal = N · M_leito · (T/T_vida)</w:t>
      </w:r>
    </w:p>
    <w:p>
      <w:pPr>
        <w:spacing w:after="80"/>
        <w:jc w:val="center"/>
      </w:pPr>
      <w:r>
        <w:rPr>
          <w:i/>
          <w:color w:val="595959"/>
          <w:sz w:val="18"/>
        </w:rPr>
        <w:t>Impactos agregados (água, energia e massa de sal exaurido)</w:t>
      </w:r>
    </w:p>
    <w:p>
      <w:pPr>
        <w:pStyle w:val="Heading2"/>
        <w:spacing w:before="240" w:after="120"/>
      </w:pPr>
      <w:r>
        <w:t>3.6 Validação e reprodutibilidade</w:t>
      </w:r>
    </w:p>
    <w:p>
      <w:pPr>
        <w:spacing w:after="80" w:line="276" w:lineRule="auto"/>
      </w:pPr>
      <w:r>
        <w:rPr>
          <w:i w:val="0"/>
        </w:rPr>
        <w:t>A validação combina 35 testes unitários em C++ (psicrometria, sorção, destilação, ciclo, pós-tratamento, RNG, ML, frota, Monte Carlo e binlog) e 21 testes em Python (pytest), executados contra o módulo nativo quando disponível e contra o espelho Python quando não. Esse arranjo garante paridade física entre linguagens e satisfaz o requisito de reprodutibilidade [17]: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fill="F5F5F5"/>
            <w:tcBorders>
              <w:top w:sz="6" w:val="single" w:color="B0B0B0"/>
              <w:left w:sz="6" w:val="single" w:color="B0B0B0"/>
              <w:bottom w:sz="6" w:val="single" w:color="B0B0B0"/>
              <w:right w:sz="6" w:val="single" w:color="B0B0B0"/>
            </w:tcBorders>
          </w:tcPr>
          <w:p>
            <w:r/>
            <w:r>
              <w:rPr>
                <w:rFonts w:ascii="Courier New" w:hAnsi="Courier New"/>
                <w:sz w:val="17"/>
              </w:rPr>
              <w:t>$ cd src/core &amp;&amp; cmake --build build --target tupan_tests &amp;&amp; ./build/tupan_tests   # 35 testes C++</w:t>
              <w:br/>
            </w:r>
            <w:r>
              <w:rPr>
                <w:rFonts w:ascii="Courier New" w:hAnsi="Courier New"/>
                <w:sz w:val="17"/>
              </w:rPr>
              <w:t>$ cd tools/tests &amp;&amp; python3 -m pytest -q                              # 21 testes</w:t>
              <w:br/>
            </w:r>
            <w:r>
              <w:rPr>
                <w:rFonts w:ascii="Courier New" w:hAnsi="Courier New"/>
                <w:sz w:val="17"/>
              </w:rPr>
              <w:t>$ ./build/tupan_sim --night 8 --day 6 --ur 68 --temp 24 --json</w:t>
              <w:br/>
            </w:r>
          </w:p>
        </w:tc>
      </w:tr>
    </w:tbl>
    <w:p>
      <w:pPr>
        <w:jc w:val="center"/>
      </w:pPr>
      <w:r>
        <w:rPr>
          <w:i/>
          <w:color w:val="595959"/>
          <w:sz w:val="18"/>
        </w:rPr>
        <w:t>Quadro 3 — Comandos de verificação.</w:t>
      </w:r>
    </w:p>
    <w:p>
      <w:r>
        <w:br w:type="page"/>
      </w:r>
    </w:p>
    <w:p>
      <w:pPr>
        <w:pStyle w:val="Heading1"/>
        <w:spacing w:before="240" w:after="120"/>
      </w:pPr>
      <w:r>
        <w:t>4 Resultados e Discussão</w:t>
      </w:r>
    </w:p>
    <w:p>
      <w:pPr>
        <w:pStyle w:val="Heading2"/>
        <w:spacing w:before="240" w:after="120"/>
      </w:pPr>
      <w:r>
        <w:t>4.1 Climatologia noturna de Petrolina-PE</w:t>
      </w:r>
    </w:p>
    <w:p>
      <w:pPr>
        <w:spacing w:after="80" w:line="276" w:lineRule="auto"/>
      </w:pPr>
      <w:r>
        <w:rPr>
          <w:i w:val="0"/>
        </w:rPr>
        <w:t>A análise das 14.616 horas indica umidade relativa noturna média de 68,65 % a 24,64 °C, com sazonalidade marcada (máximos no período chuvoso e mínimos no auge da estiagem). Esse resultado confirma quantitativamente a hipótese de assincronismo: existe vapor disponível à noite e calor disponível ao dia, na mesma localidade e com regularidade estatística [1], [20].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10808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a_ur_noturn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080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6 — UR noturna média por estado (capitais, Open-Meteo/ERA5 2024).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07483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a_producao_anu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74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7 — Produção anual estimada por estado (L/ano).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972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producao_vs_u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972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8 — Produção potável em função da umidade relativa.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82503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ciclo_diurn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8250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9 — Ciclo diurno de umidade relativa e temperatura.</w:t>
      </w:r>
    </w:p>
    <w:p>
      <w:pPr>
        <w:pStyle w:val="Heading2"/>
        <w:spacing w:before="240" w:after="120"/>
      </w:pPr>
      <w:r>
        <w:t>4.2 Produção de água, energia e custo</w:t>
      </w:r>
    </w:p>
    <w:p>
      <w:pPr>
        <w:spacing w:after="80" w:line="276" w:lineRule="auto"/>
      </w:pPr>
      <w:r>
        <w:rPr>
          <w:i w:val="0"/>
        </w:rPr>
        <w:t>Sob o ciclo padrão (8 h de noite + 6 h de dia), o núcleo reporta massa sorvida de 0,75 kg, 0,69 L destilados e 0,68 L potáveis (após filtro de recuperação 0,98 e limite de bacia de 2 L). A decomposição energética é dominada pela solenoide: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2948"/>
            <w:shd w:val="clear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Etapa</w:t>
            </w:r>
          </w:p>
        </w:tc>
        <w:tc>
          <w:tcPr>
            <w:tcW w:type="dxa" w:w="1361"/>
            <w:shd w:val="clear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Potência</w:t>
            </w:r>
          </w:p>
        </w:tc>
        <w:tc>
          <w:tcPr>
            <w:tcW w:type="dxa" w:w="1134"/>
            <w:shd w:val="clear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Duração</w:t>
            </w:r>
          </w:p>
        </w:tc>
        <w:tc>
          <w:tcPr>
            <w:tcW w:type="dxa" w:w="1587"/>
            <w:shd w:val="clear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Energia (kWh)</w:t>
            </w:r>
          </w:p>
        </w:tc>
        <w:tc>
          <w:tcPr>
            <w:tcW w:type="dxa" w:w="1134"/>
            <w:shd w:val="clear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Fração</w:t>
            </w:r>
          </w:p>
        </w:tc>
      </w:tr>
      <w:tr>
        <w:tc>
          <w:tcPr>
            <w:tcW w:type="dxa" w:w="2948"/>
            <w:shd w:val="clear" w:fill="F7F9FB"/>
          </w:tcPr>
          <w:p>
            <w:r/>
            <w:r>
              <w:rPr>
                <w:b w:val="0"/>
                <w:sz w:val="16"/>
              </w:rPr>
              <w:t>Solenoide</w:t>
            </w:r>
          </w:p>
        </w:tc>
        <w:tc>
          <w:tcPr>
            <w:tcW w:type="dxa" w:w="1361"/>
            <w:shd w:val="clear" w:fill="F7F9FB"/>
          </w:tcPr>
          <w:p>
            <w:r/>
            <w:r>
              <w:rPr>
                <w:b w:val="0"/>
                <w:sz w:val="16"/>
              </w:rPr>
              <w:t>250 W</w:t>
            </w:r>
          </w:p>
        </w:tc>
        <w:tc>
          <w:tcPr>
            <w:tcW w:type="dxa" w:w="1134"/>
            <w:shd w:val="clear" w:fill="F7F9FB"/>
          </w:tcPr>
          <w:p>
            <w:r/>
            <w:r>
              <w:rPr>
                <w:b w:val="0"/>
                <w:sz w:val="16"/>
              </w:rPr>
              <w:t>6 h</w:t>
            </w:r>
          </w:p>
        </w:tc>
        <w:tc>
          <w:tcPr>
            <w:tcW w:type="dxa" w:w="1587"/>
            <w:shd w:val="clear" w:fill="F7F9FB"/>
          </w:tcPr>
          <w:p>
            <w:r/>
            <w:r>
              <w:rPr>
                <w:b w:val="0"/>
                <w:sz w:val="16"/>
              </w:rPr>
              <w:t>1,500</w:t>
            </w:r>
          </w:p>
        </w:tc>
        <w:tc>
          <w:tcPr>
            <w:tcW w:type="dxa" w:w="1134"/>
            <w:shd w:val="clear" w:fill="F7F9FB"/>
          </w:tcPr>
          <w:p>
            <w:r/>
            <w:r>
              <w:rPr>
                <w:b w:val="0"/>
                <w:sz w:val="16"/>
              </w:rPr>
              <w:t>89,1 %</w:t>
            </w:r>
          </w:p>
        </w:tc>
      </w:tr>
      <w:tr>
        <w:tc>
          <w:tcPr>
            <w:tcW w:type="dxa" w:w="2948"/>
          </w:tcPr>
          <w:p>
            <w:r/>
            <w:r>
              <w:rPr>
                <w:b w:val="0"/>
                <w:sz w:val="16"/>
              </w:rPr>
              <w:t>Eletrônica (Mega + sensores)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6"/>
              </w:rPr>
              <w:t>5 W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16"/>
              </w:rPr>
              <w:t>24 h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16"/>
              </w:rPr>
              <w:t>0,120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16"/>
              </w:rPr>
              <w:t>7,1 %</w:t>
            </w:r>
          </w:p>
        </w:tc>
      </w:tr>
      <w:tr>
        <w:tc>
          <w:tcPr>
            <w:tcW w:type="dxa" w:w="2948"/>
            <w:shd w:val="clear" w:fill="F7F9FB"/>
          </w:tcPr>
          <w:p>
            <w:r/>
            <w:r>
              <w:rPr>
                <w:b w:val="0"/>
                <w:sz w:val="16"/>
              </w:rPr>
              <w:t>Ventoinhas</w:t>
            </w:r>
          </w:p>
        </w:tc>
        <w:tc>
          <w:tcPr>
            <w:tcW w:type="dxa" w:w="1361"/>
            <w:shd w:val="clear" w:fill="F7F9FB"/>
          </w:tcPr>
          <w:p>
            <w:r/>
            <w:r>
              <w:rPr>
                <w:b w:val="0"/>
                <w:sz w:val="16"/>
              </w:rPr>
              <w:t>7,5 W</w:t>
            </w:r>
          </w:p>
        </w:tc>
        <w:tc>
          <w:tcPr>
            <w:tcW w:type="dxa" w:w="1134"/>
            <w:shd w:val="clear" w:fill="F7F9FB"/>
          </w:tcPr>
          <w:p>
            <w:r/>
            <w:r>
              <w:rPr>
                <w:b w:val="0"/>
                <w:sz w:val="16"/>
              </w:rPr>
              <w:t>8 h</w:t>
            </w:r>
          </w:p>
        </w:tc>
        <w:tc>
          <w:tcPr>
            <w:tcW w:type="dxa" w:w="1587"/>
            <w:shd w:val="clear" w:fill="F7F9FB"/>
          </w:tcPr>
          <w:p>
            <w:r/>
            <w:r>
              <w:rPr>
                <w:b w:val="0"/>
                <w:sz w:val="16"/>
              </w:rPr>
              <w:t>0,060</w:t>
            </w:r>
          </w:p>
        </w:tc>
        <w:tc>
          <w:tcPr>
            <w:tcW w:type="dxa" w:w="1134"/>
            <w:shd w:val="clear" w:fill="F7F9FB"/>
          </w:tcPr>
          <w:p>
            <w:r/>
            <w:r>
              <w:rPr>
                <w:b w:val="0"/>
                <w:sz w:val="16"/>
              </w:rPr>
              <w:t>3,6 %</w:t>
            </w:r>
          </w:p>
        </w:tc>
      </w:tr>
      <w:tr>
        <w:tc>
          <w:tcPr>
            <w:tcW w:type="dxa" w:w="2948"/>
          </w:tcPr>
          <w:p>
            <w:r/>
            <w:r>
              <w:rPr>
                <w:b w:val="0"/>
                <w:sz w:val="16"/>
              </w:rPr>
              <w:t>UV-C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6"/>
              </w:rPr>
              <w:t>6 W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16"/>
              </w:rPr>
              <w:t>0,5 h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16"/>
              </w:rPr>
              <w:t>0,003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16"/>
              </w:rPr>
              <w:t>0,2 %</w:t>
            </w:r>
          </w:p>
        </w:tc>
      </w:tr>
      <w:tr>
        <w:tc>
          <w:tcPr>
            <w:tcW w:type="dxa" w:w="2948"/>
            <w:shd w:val="clear" w:fill="F7F9FB"/>
          </w:tcPr>
          <w:p>
            <w:r/>
            <w:r>
              <w:rPr>
                <w:b w:val="0"/>
                <w:sz w:val="16"/>
              </w:rPr>
              <w:t>TOTAL</w:t>
            </w:r>
          </w:p>
        </w:tc>
        <w:tc>
          <w:tcPr>
            <w:tcW w:type="dxa" w:w="1361"/>
            <w:shd w:val="clear" w:fill="F7F9FB"/>
          </w:tcPr>
          <w:p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134"/>
            <w:shd w:val="clear" w:fill="F7F9FB"/>
          </w:tcPr>
          <w:p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587"/>
            <w:shd w:val="clear" w:fill="F7F9FB"/>
          </w:tcPr>
          <w:p>
            <w:r/>
            <w:r>
              <w:rPr>
                <w:b w:val="0"/>
                <w:sz w:val="16"/>
              </w:rPr>
              <w:t>1,683</w:t>
            </w:r>
          </w:p>
        </w:tc>
        <w:tc>
          <w:tcPr>
            <w:tcW w:type="dxa" w:w="1134"/>
            <w:shd w:val="clear" w:fill="F7F9FB"/>
          </w:tcPr>
          <w:p>
            <w:r/>
            <w:r>
              <w:rPr>
                <w:b w:val="0"/>
                <w:sz w:val="16"/>
              </w:rPr>
              <w:t>100 %</w:t>
            </w:r>
          </w:p>
        </w:tc>
      </w:tr>
    </w:tbl>
    <w:p/>
    <w:p>
      <w:pPr>
        <w:spacing w:after="80" w:line="276" w:lineRule="auto"/>
      </w:pPr>
      <w:r>
        <w:rPr>
          <w:i w:val="0"/>
        </w:rPr>
        <w:t>A eficiência energético-hídrica resultante é de 0,43 L/kWh. Com a tarifa média brasileira, o custo anual (365 ciclos) é de R$ 583,58–588,42 (R$ 2,36–2,38 por litro); com Tarifa Social (consumo ≈ 51,2 kWh/mês, dentro da faixa ≤ 80 kWh), cai para R$ 204,25–205,21/ano (R$ 0,83/L). A comparação de mercado: galão de 20 L ≈ R$ 0,60/L; garrafinha de 500 mL ≈ R$ 4,00/L. A conclusão é explícita: o Tupan é mais caro que a água envasada em rede, porém mais barato que a garrafinha e socialmente competitivo sob Tarifa Social — seu valor é autonomia, não preço.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2192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balanco_energi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21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10 — Balanço de energia por ciclo e por subsistema.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19349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custo_comparativ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193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11 — Custo por litro: Tupan × galão × garrafinha.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90116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projecao_anua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011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12 — Projeção anual de produção em Petrolina-PE.</w:t>
      </w:r>
    </w:p>
    <w:p>
      <w:pPr>
        <w:pStyle w:val="Heading2"/>
        <w:spacing w:before="240" w:after="120"/>
      </w:pPr>
      <w:r>
        <w:t>4.3 Desempenho do modelo preditivo</w:t>
      </w:r>
    </w:p>
    <w:p>
      <w:pPr>
        <w:spacing w:after="80" w:line="276" w:lineRule="auto"/>
      </w:pPr>
      <w:r>
        <w:rPr>
          <w:i w:val="0"/>
        </w:rPr>
        <w:t>A regressão ridge de grau 2 com 23 features atinge R² = 0,991 e RMSE = 0,064 L, superando o baseline de rede neural (MLP 64/64, R² = 0,877) e a regressão polinomial sem features de engenharia (R² = 0,947). O ganho decorre da injeção dos kinks físicos (saturação do leito e fração de liberação), evidência de que mecanismo e dados são complementares, não substitutos [11], [12].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ml_vs_fisica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13 — Validação do preditor: ML versus física determinística.</w:t>
      </w:r>
    </w:p>
    <w:p>
      <w:pPr>
        <w:pStyle w:val="Heading2"/>
        <w:spacing w:before="240" w:after="120"/>
      </w:pPr>
      <w:r>
        <w:t>4.4 Impacto de adoção em massa e advertências</w:t>
      </w:r>
    </w:p>
    <w:p>
      <w:pPr>
        <w:spacing w:after="80" w:line="276" w:lineRule="auto"/>
      </w:pPr>
      <w:r>
        <w:rPr>
          <w:i w:val="0"/>
        </w:rPr>
        <w:t>A modelagem de N = 100.000 unidades em operação contínua fornece os agregados a seguir, com as respectivas advertências: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val="clear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Métrica</w:t>
            </w:r>
          </w:p>
        </w:tc>
        <w:tc>
          <w:tcPr>
            <w:tcW w:type="dxa" w:w="3061"/>
            <w:shd w:val="clear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Valor (100 mil unidades)</w:t>
            </w:r>
          </w:p>
        </w:tc>
        <w:tc>
          <w:tcPr>
            <w:tcW w:type="dxa" w:w="3969"/>
            <w:shd w:val="clear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Advertência</w:t>
            </w:r>
          </w:p>
        </w:tc>
      </w:tr>
      <w:tr>
        <w:tc>
          <w:tcPr>
            <w:tcW w:type="dxa" w:w="2268"/>
            <w:shd w:val="clear" w:fill="F7F9FB"/>
          </w:tcPr>
          <w:p>
            <w:r/>
            <w:r>
              <w:rPr>
                <w:b w:val="0"/>
                <w:sz w:val="16"/>
              </w:rPr>
              <w:t>Água produzida</w:t>
            </w:r>
          </w:p>
        </w:tc>
        <w:tc>
          <w:tcPr>
            <w:tcW w:type="dxa" w:w="3061"/>
            <w:shd w:val="clear" w:fill="F7F9FB"/>
          </w:tcPr>
          <w:p>
            <w:r/>
            <w:r>
              <w:rPr>
                <w:b w:val="0"/>
                <w:sz w:val="16"/>
              </w:rPr>
              <w:t>≈ 24,7 ML/ano</w:t>
            </w:r>
          </w:p>
        </w:tc>
        <w:tc>
          <w:tcPr>
            <w:tcW w:type="dxa" w:w="3969"/>
            <w:shd w:val="clear" w:fill="F7F9FB"/>
          </w:tcPr>
          <w:p>
            <w:r/>
            <w:r>
              <w:rPr>
                <w:b w:val="0"/>
                <w:sz w:val="16"/>
              </w:rPr>
              <w:t>Relevante para ~100 mil pessoas; irrelevante para rios/aquíferos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6"/>
              </w:rPr>
              <w:t>Energia demandada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6"/>
              </w:rPr>
              <w:t>≈ 61 GWh/ano (~11 mil residências)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16"/>
              </w:rPr>
              <w:t>⚠ Demanda de pico na rede: solarização como padrão</w:t>
            </w:r>
          </w:p>
        </w:tc>
      </w:tr>
      <w:tr>
        <w:tc>
          <w:tcPr>
            <w:tcW w:type="dxa" w:w="2268"/>
            <w:shd w:val="clear" w:fill="F7F9FB"/>
          </w:tcPr>
          <w:p>
            <w:r/>
            <w:r>
              <w:rPr>
                <w:b w:val="0"/>
                <w:sz w:val="16"/>
              </w:rPr>
              <w:t>Sal exaurido</w:t>
            </w:r>
          </w:p>
        </w:tc>
        <w:tc>
          <w:tcPr>
            <w:tcW w:type="dxa" w:w="3061"/>
            <w:shd w:val="clear" w:fill="F7F9FB"/>
          </w:tcPr>
          <w:p>
            <w:r/>
            <w:r>
              <w:rPr>
                <w:b w:val="0"/>
                <w:sz w:val="16"/>
              </w:rPr>
              <w:t>70–100 t por década</w:t>
            </w:r>
          </w:p>
        </w:tc>
        <w:tc>
          <w:tcPr>
            <w:tcW w:type="dxa" w:w="3969"/>
            <w:shd w:val="clear" w:fill="F7F9FB"/>
          </w:tcPr>
          <w:p>
            <w:r/>
            <w:r>
              <w:rPr>
                <w:b w:val="0"/>
                <w:sz w:val="16"/>
              </w:rPr>
              <w:t>⚠ Salinização do solo se descartado; logística reversa obrigatória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6"/>
              </w:rPr>
              <w:t>Lâmpadas UV-C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6"/>
              </w:rPr>
              <w:t>≥ 9.000 h de vida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16"/>
              </w:rPr>
              <w:t>⚠ Substituição programada; resíduo de mercúrio</w:t>
            </w:r>
          </w:p>
        </w:tc>
      </w:tr>
      <w:tr>
        <w:tc>
          <w:tcPr>
            <w:tcW w:type="dxa" w:w="2268"/>
            <w:shd w:val="clear" w:fill="F7F9FB"/>
          </w:tcPr>
          <w:p>
            <w:r/>
            <w:r>
              <w:rPr>
                <w:b w:val="0"/>
                <w:sz w:val="16"/>
              </w:rPr>
              <w:t>Equidade tarifária</w:t>
            </w:r>
          </w:p>
        </w:tc>
        <w:tc>
          <w:tcPr>
            <w:tcW w:type="dxa" w:w="3061"/>
            <w:shd w:val="clear" w:fill="F7F9FB"/>
          </w:tcPr>
          <w:p>
            <w:r/>
            <w:r>
              <w:rPr>
                <w:b w:val="0"/>
                <w:sz w:val="16"/>
              </w:rPr>
              <w:t>R$ 2,36/L na tarifa plena</w:t>
            </w:r>
          </w:p>
        </w:tc>
        <w:tc>
          <w:tcPr>
            <w:tcW w:type="dxa" w:w="3969"/>
            <w:shd w:val="clear" w:fill="F7F9FB"/>
          </w:tcPr>
          <w:p>
            <w:r/>
            <w:r>
              <w:rPr>
                <w:b w:val="0"/>
                <w:sz w:val="16"/>
              </w:rPr>
              <w:t>⚠ Regressivo sem TSEE/PV: pobreza paga mais por litro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6"/>
              </w:rPr>
              <w:t>Confiança sanitária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6"/>
              </w:rPr>
              <w:t>Monitoramento ANVISA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16"/>
              </w:rPr>
              <w:t>⚠ Uma unidade contaminada compromete o programa inteiro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fill="FFF3E0"/>
            <w:tcBorders>
              <w:top w:sz="8" w:val="single" w:color="1E3A5F"/>
              <w:left w:sz="8" w:val="single" w:color="1E3A5F"/>
              <w:bottom w:sz="8" w:val="single" w:color="1E3A5F"/>
              <w:right w:sz="8" w:val="single" w:color="1E3A5F"/>
            </w:tcBorders>
          </w:tcPr>
          <w:p>
            <w:r/>
            <w:r>
              <w:rPr>
                <w:b/>
                <w:color w:val="1E3A5F"/>
              </w:rPr>
              <w:t>Advertência central deste trabalho</w:t>
              <w:br/>
            </w:r>
            <w:r>
              <w:rPr>
                <w:sz w:val="20"/>
              </w:rPr>
              <w:t>A escala inverte virtudes. Um ciclo limpo para uma família vira 61 GWh de demanda e 100 t de sal gasto para uma região. Solarização e logística reversa do dessecante não são acessórios verdes: são condições de contorno para que o Tupan não recrie o problema que pretende resolver.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39702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impacto_escala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97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14 — Impacto agregado em 1 mil / 10 mil / 100 mil unidades.</w:t>
      </w:r>
    </w:p>
    <w:p>
      <w:pPr>
        <w:pStyle w:val="Heading2"/>
        <w:spacing w:before="240" w:after="120"/>
      </w:pPr>
      <w:r>
        <w:t>4.5 Comparação de biomas e transferibilidade</w:t>
      </w:r>
    </w:p>
    <w:p>
      <w:pPr>
        <w:spacing w:after="80" w:line="276" w:lineRule="auto"/>
      </w:pPr>
      <w:r>
        <w:rPr>
          <w:i w:val="0"/>
        </w:rPr>
        <w:t>Como o ciclo depende de umidade noturna (combustível) e calor diurno (regeneração), sua transferibilidade pode ser avaliada por classificação climática de Köppen–Geiger [15]: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2494"/>
            <w:shd w:val="clear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Região / bioma</w:t>
            </w:r>
          </w:p>
        </w:tc>
        <w:tc>
          <w:tcPr>
            <w:tcW w:type="dxa" w:w="1020"/>
            <w:shd w:val="clear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Köppen</w:t>
            </w:r>
          </w:p>
        </w:tc>
        <w:tc>
          <w:tcPr>
            <w:tcW w:type="dxa" w:w="1474"/>
            <w:shd w:val="clear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UR noturna</w:t>
            </w:r>
          </w:p>
        </w:tc>
        <w:tc>
          <w:tcPr>
            <w:tcW w:type="dxa" w:w="1247"/>
            <w:shd w:val="clear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 noturna</w:t>
            </w:r>
          </w:p>
        </w:tc>
        <w:tc>
          <w:tcPr>
            <w:tcW w:type="dxa" w:w="1474"/>
            <w:shd w:val="clear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Adequação</w:t>
            </w:r>
          </w:p>
        </w:tc>
        <w:tc>
          <w:tcPr>
            <w:tcW w:type="dxa" w:w="2721"/>
            <w:shd w:val="clear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Adaptação</w:t>
            </w:r>
          </w:p>
        </w:tc>
      </w:tr>
      <w:tr>
        <w:tc>
          <w:tcPr>
            <w:tcW w:type="dxa" w:w="2494"/>
            <w:shd w:val="clear" w:fill="F7F9FB"/>
          </w:tcPr>
          <w:p>
            <w:r/>
            <w:r>
              <w:rPr>
                <w:b w:val="0"/>
                <w:sz w:val="16"/>
              </w:rPr>
              <w:t>Sertão nordestino (BR)</w:t>
            </w:r>
          </w:p>
        </w:tc>
        <w:tc>
          <w:tcPr>
            <w:tcW w:type="dxa" w:w="1020"/>
            <w:shd w:val="clear" w:fill="F7F9FB"/>
          </w:tcPr>
          <w:p>
            <w:r/>
            <w:r>
              <w:rPr>
                <w:b w:val="0"/>
                <w:sz w:val="16"/>
              </w:rPr>
              <w:t>BSh</w:t>
            </w:r>
          </w:p>
        </w:tc>
        <w:tc>
          <w:tcPr>
            <w:tcW w:type="dxa" w:w="1474"/>
            <w:shd w:val="clear" w:fill="F7F9FB"/>
          </w:tcPr>
          <w:p>
            <w:r/>
            <w:r>
              <w:rPr>
                <w:b w:val="0"/>
                <w:sz w:val="16"/>
              </w:rPr>
              <w:t>60–75 %</w:t>
            </w:r>
          </w:p>
        </w:tc>
        <w:tc>
          <w:tcPr>
            <w:tcW w:type="dxa" w:w="1247"/>
            <w:shd w:val="clear" w:fill="F7F9FB"/>
          </w:tcPr>
          <w:p>
            <w:r/>
            <w:r>
              <w:rPr>
                <w:b w:val="0"/>
                <w:sz w:val="16"/>
              </w:rPr>
              <w:t>22–26 °C</w:t>
            </w:r>
          </w:p>
        </w:tc>
        <w:tc>
          <w:tcPr>
            <w:tcW w:type="dxa" w:w="1474"/>
            <w:shd w:val="clear" w:fill="F7F9FB"/>
          </w:tcPr>
          <w:p>
            <w:r/>
            <w:r>
              <w:rPr>
                <w:b w:val="0"/>
                <w:sz w:val="16"/>
              </w:rPr>
              <w:t>★★★★★ ideal</w:t>
            </w:r>
          </w:p>
        </w:tc>
        <w:tc>
          <w:tcPr>
            <w:tcW w:type="dxa" w:w="2721"/>
            <w:shd w:val="clear" w:fill="F7F9FB"/>
          </w:tcPr>
          <w:p>
            <w:r/>
            <w:r>
              <w:rPr>
                <w:b w:val="0"/>
                <w:sz w:val="16"/>
              </w:rPr>
              <w:t>Projeto-base (Petrolina)</w:t>
            </w:r>
          </w:p>
        </w:tc>
      </w:tr>
      <w:tr>
        <w:tc>
          <w:tcPr>
            <w:tcW w:type="dxa" w:w="2494"/>
          </w:tcPr>
          <w:p>
            <w:r/>
            <w:r>
              <w:rPr>
                <w:b w:val="0"/>
                <w:sz w:val="16"/>
              </w:rPr>
              <w:t>Sahel (África)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6"/>
              </w:rPr>
              <w:t>BSh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6"/>
              </w:rPr>
              <w:t>70–90 % (chuvas)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6"/>
              </w:rPr>
              <w:t>24–30 °C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6"/>
              </w:rPr>
              <w:t>★★★★☆ sazonal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6"/>
              </w:rPr>
              <w:t>Poeira do harmatã: pré-filtro lavável</w:t>
            </w:r>
          </w:p>
        </w:tc>
      </w:tr>
      <w:tr>
        <w:tc>
          <w:tcPr>
            <w:tcW w:type="dxa" w:w="2494"/>
            <w:shd w:val="clear" w:fill="F7F9FB"/>
          </w:tcPr>
          <w:p>
            <w:r/>
            <w:r>
              <w:rPr>
                <w:b w:val="0"/>
                <w:sz w:val="16"/>
              </w:rPr>
              <w:t>Sahara/Arábia</w:t>
            </w:r>
          </w:p>
        </w:tc>
        <w:tc>
          <w:tcPr>
            <w:tcW w:type="dxa" w:w="1020"/>
            <w:shd w:val="clear" w:fill="F7F9FB"/>
          </w:tcPr>
          <w:p>
            <w:r/>
            <w:r>
              <w:rPr>
                <w:b w:val="0"/>
                <w:sz w:val="16"/>
              </w:rPr>
              <w:t>BWh</w:t>
            </w:r>
          </w:p>
        </w:tc>
        <w:tc>
          <w:tcPr>
            <w:tcW w:type="dxa" w:w="1474"/>
            <w:shd w:val="clear" w:fill="F7F9FB"/>
          </w:tcPr>
          <w:p>
            <w:r/>
            <w:r>
              <w:rPr>
                <w:b w:val="0"/>
                <w:sz w:val="16"/>
              </w:rPr>
              <w:t>&lt; 20 %</w:t>
            </w:r>
          </w:p>
        </w:tc>
        <w:tc>
          <w:tcPr>
            <w:tcW w:type="dxa" w:w="1247"/>
            <w:shd w:val="clear" w:fill="F7F9FB"/>
          </w:tcPr>
          <w:p>
            <w:r/>
            <w:r>
              <w:rPr>
                <w:b w:val="0"/>
                <w:sz w:val="16"/>
              </w:rPr>
              <w:t>15–30 °C</w:t>
            </w:r>
          </w:p>
        </w:tc>
        <w:tc>
          <w:tcPr>
            <w:tcW w:type="dxa" w:w="1474"/>
            <w:shd w:val="clear" w:fill="F7F9FB"/>
          </w:tcPr>
          <w:p>
            <w:r/>
            <w:r>
              <w:rPr>
                <w:b w:val="0"/>
                <w:sz w:val="16"/>
              </w:rPr>
              <w:t>★☆☆☆☆ inviável</w:t>
            </w:r>
          </w:p>
        </w:tc>
        <w:tc>
          <w:tcPr>
            <w:tcW w:type="dxa" w:w="2721"/>
            <w:shd w:val="clear" w:fill="F7F9FB"/>
          </w:tcPr>
          <w:p>
            <w:r/>
            <w:r>
              <w:rPr>
                <w:b w:val="0"/>
                <w:sz w:val="16"/>
              </w:rPr>
              <w:t>Sem vapor: só dessalinização</w:t>
            </w:r>
          </w:p>
        </w:tc>
      </w:tr>
      <w:tr>
        <w:tc>
          <w:tcPr>
            <w:tcW w:type="dxa" w:w="2494"/>
          </w:tcPr>
          <w:p>
            <w:r/>
            <w:r>
              <w:rPr>
                <w:b w:val="0"/>
                <w:sz w:val="16"/>
              </w:rPr>
              <w:t>Mediterrâneo (Europa)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6"/>
              </w:rPr>
              <w:t>Csa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6"/>
              </w:rPr>
              <w:t>50–70 %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6"/>
              </w:rPr>
              <w:t>18–24 °C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6"/>
              </w:rPr>
              <w:t>★★★☆☆ estacional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6"/>
              </w:rPr>
              <w:t>Inverno: REGEN longa/auxiliar</w:t>
            </w:r>
          </w:p>
        </w:tc>
      </w:tr>
      <w:tr>
        <w:tc>
          <w:tcPr>
            <w:tcW w:type="dxa" w:w="2494"/>
            <w:shd w:val="clear" w:fill="F7F9FB"/>
          </w:tcPr>
          <w:p>
            <w:r/>
            <w:r>
              <w:rPr>
                <w:b w:val="0"/>
                <w:sz w:val="16"/>
              </w:rPr>
              <w:t>Sudoeste dos EUA/México</w:t>
            </w:r>
          </w:p>
        </w:tc>
        <w:tc>
          <w:tcPr>
            <w:tcW w:type="dxa" w:w="1020"/>
            <w:shd w:val="clear" w:fill="F7F9FB"/>
          </w:tcPr>
          <w:p>
            <w:r/>
            <w:r>
              <w:rPr>
                <w:b w:val="0"/>
                <w:sz w:val="16"/>
              </w:rPr>
              <w:t>BWh/BSh</w:t>
            </w:r>
          </w:p>
        </w:tc>
        <w:tc>
          <w:tcPr>
            <w:tcW w:type="dxa" w:w="1474"/>
            <w:shd w:val="clear" w:fill="F7F9FB"/>
          </w:tcPr>
          <w:p>
            <w:r/>
            <w:r>
              <w:rPr>
                <w:b w:val="0"/>
                <w:sz w:val="16"/>
              </w:rPr>
              <w:t>30–50 % (monção)</w:t>
            </w:r>
          </w:p>
        </w:tc>
        <w:tc>
          <w:tcPr>
            <w:tcW w:type="dxa" w:w="1247"/>
            <w:shd w:val="clear" w:fill="F7F9FB"/>
          </w:tcPr>
          <w:p>
            <w:r/>
            <w:r>
              <w:rPr>
                <w:b w:val="0"/>
                <w:sz w:val="16"/>
              </w:rPr>
              <w:t>20–30 °C</w:t>
            </w:r>
          </w:p>
        </w:tc>
        <w:tc>
          <w:tcPr>
            <w:tcW w:type="dxa" w:w="1474"/>
            <w:shd w:val="clear" w:fill="F7F9FB"/>
          </w:tcPr>
          <w:p>
            <w:r/>
            <w:r>
              <w:rPr>
                <w:b w:val="0"/>
                <w:sz w:val="16"/>
              </w:rPr>
              <w:t>★★☆☆☆ marginal</w:t>
            </w:r>
          </w:p>
        </w:tc>
        <w:tc>
          <w:tcPr>
            <w:tcW w:type="dxa" w:w="2721"/>
            <w:shd w:val="clear" w:fill="F7F9FB"/>
          </w:tcPr>
          <w:p>
            <w:r/>
            <w:r>
              <w:rPr>
                <w:b w:val="0"/>
                <w:sz w:val="16"/>
              </w:rPr>
              <w:t>Operar só no monção Jul–Set</w:t>
            </w:r>
          </w:p>
        </w:tc>
      </w:tr>
      <w:tr>
        <w:tc>
          <w:tcPr>
            <w:tcW w:type="dxa" w:w="2494"/>
          </w:tcPr>
          <w:p>
            <w:r/>
            <w:r>
              <w:rPr>
                <w:b w:val="0"/>
                <w:sz w:val="16"/>
              </w:rPr>
              <w:t>Atacama/Namibe (névoa)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6"/>
              </w:rPr>
              <w:t>BWk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6"/>
              </w:rPr>
              <w:t>80–95 %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6"/>
              </w:rPr>
              <w:t>12–20 °C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6"/>
              </w:rPr>
              <w:t>★★★★☆ c/ adaptação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6"/>
              </w:rPr>
              <w:t>Noites frias: solenoide extra</w:t>
            </w:r>
          </w:p>
        </w:tc>
      </w:tr>
    </w:tbl>
    <w:p/>
    <w:p>
      <w:pPr>
        <w:spacing w:after="80" w:line="276" w:lineRule="auto"/>
      </w:pPr>
      <w:r>
        <w:rPr>
          <w:i w:val="0"/>
        </w:rPr>
        <w:t>Regra de bolso: UR noturna ≥ 60 % ⇒ projeto-base; 40–60 % ⇒ estender INTAKE e capacidade do leito; &lt; 40 % ⇒ não instalar. O sertão não é o pior lugar do mundo para extrair água do ar — é um dos melhores, porque a noite úmida e o dia quente coincidem.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19437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a_bioma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943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15 — Biomas dominantes por estado (contexto de transferibilidade).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05463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a_viabilidad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546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16 — Viabilidade técnica por estado (UR noturna ≥ 60 %).</w:t>
      </w:r>
    </w:p>
    <w:p>
      <w:pPr>
        <w:pStyle w:val="Heading2"/>
        <w:spacing w:before="240" w:after="120"/>
      </w:pPr>
      <w:r>
        <w:t>4.6 Conformidade regulatória e normativa</w:t>
      </w:r>
    </w:p>
    <w:p>
      <w:pPr>
        <w:spacing w:after="80" w:line="276" w:lineRule="auto"/>
      </w:pPr>
      <w:r>
        <w:rPr>
          <w:i w:val="0"/>
        </w:rPr>
        <w:t>Um dispositivo de água potável no Brasil está sujeito a um arcabouço denso. O projeto foi concebido para esse arcabouço desde a arquitetura: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361"/>
            <w:shd w:val="clear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Esfera</w:t>
            </w:r>
          </w:p>
        </w:tc>
        <w:tc>
          <w:tcPr>
            <w:tcW w:type="dxa" w:w="3175"/>
            <w:shd w:val="clear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Instrumento</w:t>
            </w:r>
          </w:p>
        </w:tc>
        <w:tc>
          <w:tcPr>
            <w:tcW w:type="dxa" w:w="4762"/>
            <w:shd w:val="clear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Aplicação ao Tupan</w:t>
            </w:r>
          </w:p>
        </w:tc>
      </w:tr>
      <w:tr>
        <w:tc>
          <w:tcPr>
            <w:tcW w:type="dxa" w:w="1361"/>
            <w:shd w:val="clear" w:fill="F7F9FB"/>
          </w:tcPr>
          <w:p>
            <w:r/>
            <w:r>
              <w:rPr>
                <w:b w:val="0"/>
                <w:sz w:val="16"/>
              </w:rPr>
              <w:t>INMETRO</w:t>
            </w:r>
          </w:p>
        </w:tc>
        <w:tc>
          <w:tcPr>
            <w:tcW w:type="dxa" w:w="3175"/>
            <w:shd w:val="clear" w:fill="F7F9FB"/>
          </w:tcPr>
          <w:p>
            <w:r/>
            <w:r>
              <w:rPr>
                <w:b w:val="0"/>
                <w:sz w:val="16"/>
              </w:rPr>
              <w:t>Portaria 344/2017 [26]</w:t>
            </w:r>
          </w:p>
        </w:tc>
        <w:tc>
          <w:tcPr>
            <w:tcW w:type="dxa" w:w="4762"/>
            <w:shd w:val="clear" w:fill="F7F9FB"/>
          </w:tcPr>
          <w:p>
            <w:r/>
            <w:r>
              <w:rPr>
                <w:b w:val="0"/>
                <w:sz w:val="16"/>
              </w:rPr>
              <w:t>Certificação de sistemas de tratamento de água para consumo humano; rota do produto comercial</w:t>
            </w:r>
          </w:p>
        </w:tc>
      </w:tr>
      <w:tr>
        <w:tc>
          <w:tcPr>
            <w:tcW w:type="dxa" w:w="1361"/>
          </w:tcPr>
          <w:p>
            <w:r/>
            <w:r>
              <w:rPr>
                <w:b w:val="0"/>
                <w:sz w:val="16"/>
              </w:rPr>
              <w:t>ANVISA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sz w:val="16"/>
              </w:rPr>
              <w:t>Portaria de Consolidação nº 5, Anexo XX [25]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sz w:val="16"/>
              </w:rPr>
              <w:t>Parâmetros de potabilidade; alvo do pós-tratamento (UV e minerais)</w:t>
            </w:r>
          </w:p>
        </w:tc>
      </w:tr>
      <w:tr>
        <w:tc>
          <w:tcPr>
            <w:tcW w:type="dxa" w:w="1361"/>
            <w:shd w:val="clear" w:fill="F7F9FB"/>
          </w:tcPr>
          <w:p>
            <w:r/>
            <w:r>
              <w:rPr>
                <w:b w:val="0"/>
                <w:sz w:val="16"/>
              </w:rPr>
              <w:t>ABNT</w:t>
            </w:r>
          </w:p>
        </w:tc>
        <w:tc>
          <w:tcPr>
            <w:tcW w:type="dxa" w:w="3175"/>
            <w:shd w:val="clear" w:fill="F7F9FB"/>
          </w:tcPr>
          <w:p>
            <w:r/>
            <w:r>
              <w:rPr>
                <w:b w:val="0"/>
                <w:sz w:val="16"/>
              </w:rPr>
              <w:t>NBR 5410:2004 [29]</w:t>
            </w:r>
          </w:p>
        </w:tc>
        <w:tc>
          <w:tcPr>
            <w:tcW w:type="dxa" w:w="4762"/>
            <w:shd w:val="clear" w:fill="F7F9FB"/>
          </w:tcPr>
          <w:p>
            <w:r/>
            <w:r>
              <w:rPr>
                <w:b w:val="0"/>
                <w:sz w:val="16"/>
              </w:rPr>
              <w:t>Instalações elétricas de baixa tensão (segurança elétrica)</w:t>
            </w:r>
          </w:p>
        </w:tc>
      </w:tr>
      <w:tr>
        <w:tc>
          <w:tcPr>
            <w:tcW w:type="dxa" w:w="1361"/>
          </w:tcPr>
          <w:p>
            <w:r/>
            <w:r>
              <w:rPr>
                <w:b w:val="0"/>
                <w:sz w:val="16"/>
              </w:rPr>
              <w:t>ABNT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sz w:val="16"/>
              </w:rPr>
              <w:t>NBR 14724:2011 [30]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sz w:val="16"/>
              </w:rPr>
              <w:t>Formatação de trabalho acadêmico (este documento)</w:t>
            </w:r>
          </w:p>
        </w:tc>
      </w:tr>
      <w:tr>
        <w:tc>
          <w:tcPr>
            <w:tcW w:type="dxa" w:w="1361"/>
            <w:shd w:val="clear" w:fill="F7F9FB"/>
          </w:tcPr>
          <w:p>
            <w:r/>
            <w:r>
              <w:rPr>
                <w:b w:val="0"/>
                <w:sz w:val="16"/>
              </w:rPr>
              <w:t>Saneamento</w:t>
            </w:r>
          </w:p>
        </w:tc>
        <w:tc>
          <w:tcPr>
            <w:tcW w:type="dxa" w:w="3175"/>
            <w:shd w:val="clear" w:fill="F7F9FB"/>
          </w:tcPr>
          <w:p>
            <w:r/>
            <w:r>
              <w:rPr>
                <w:b w:val="0"/>
                <w:sz w:val="16"/>
              </w:rPr>
              <w:t>Lei 11.445/2007 e 14.026/2020 [21]</w:t>
            </w:r>
          </w:p>
        </w:tc>
        <w:tc>
          <w:tcPr>
            <w:tcW w:type="dxa" w:w="4762"/>
            <w:shd w:val="clear" w:fill="F7F9FB"/>
          </w:tcPr>
          <w:p>
            <w:r/>
            <w:r>
              <w:rPr>
                <w:b w:val="0"/>
                <w:sz w:val="16"/>
              </w:rPr>
              <w:t>Insere o dispositivo como solução complementar descentralizada</w:t>
            </w:r>
          </w:p>
        </w:tc>
      </w:tr>
      <w:tr>
        <w:tc>
          <w:tcPr>
            <w:tcW w:type="dxa" w:w="1361"/>
          </w:tcPr>
          <w:p>
            <w:r/>
            <w:r>
              <w:rPr>
                <w:b w:val="0"/>
                <w:sz w:val="16"/>
              </w:rPr>
              <w:t>Resíduos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sz w:val="16"/>
              </w:rPr>
              <w:t>Lei 12.305/2010 (PNRS) [22]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sz w:val="16"/>
              </w:rPr>
              <w:t>Logística reversa do sal exaurido e do REEE</w:t>
            </w:r>
          </w:p>
        </w:tc>
      </w:tr>
      <w:tr>
        <w:tc>
          <w:tcPr>
            <w:tcW w:type="dxa" w:w="1361"/>
            <w:shd w:val="clear" w:fill="F7F9FB"/>
          </w:tcPr>
          <w:p>
            <w:r/>
            <w:r>
              <w:rPr>
                <w:b w:val="0"/>
                <w:sz w:val="16"/>
              </w:rPr>
              <w:t>Dados</w:t>
            </w:r>
          </w:p>
        </w:tc>
        <w:tc>
          <w:tcPr>
            <w:tcW w:type="dxa" w:w="3175"/>
            <w:shd w:val="clear" w:fill="F7F9FB"/>
          </w:tcPr>
          <w:p>
            <w:r/>
            <w:r>
              <w:rPr>
                <w:b w:val="0"/>
                <w:sz w:val="16"/>
              </w:rPr>
              <w:t>Lei 13.709/2018 (LGPD) [23]</w:t>
            </w:r>
          </w:p>
        </w:tc>
        <w:tc>
          <w:tcPr>
            <w:tcW w:type="dxa" w:w="4762"/>
            <w:shd w:val="clear" w:fill="F7F9FB"/>
          </w:tcPr>
          <w:p>
            <w:r/>
            <w:r>
              <w:rPr>
                <w:b w:val="0"/>
                <w:sz w:val="16"/>
              </w:rPr>
              <w:t>Telemetria local por projeto; sem dado pessoal para operar</w:t>
            </w:r>
          </w:p>
        </w:tc>
      </w:tr>
      <w:tr>
        <w:tc>
          <w:tcPr>
            <w:tcW w:type="dxa" w:w="1361"/>
          </w:tcPr>
          <w:p>
            <w:r/>
            <w:r>
              <w:rPr>
                <w:b w:val="0"/>
                <w:sz w:val="16"/>
              </w:rPr>
              <w:t>Energia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sz w:val="16"/>
              </w:rPr>
              <w:t>Lei 14.541/2023 (TSEE) [24] e ANEEL REN 1.000/2021 [27]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sz w:val="16"/>
              </w:rPr>
              <w:t>Enquadramento tarifário e desconto social</w:t>
            </w:r>
          </w:p>
        </w:tc>
      </w:tr>
      <w:tr>
        <w:tc>
          <w:tcPr>
            <w:tcW w:type="dxa" w:w="1361"/>
            <w:shd w:val="clear" w:fill="F7F9FB"/>
          </w:tcPr>
          <w:p>
            <w:r/>
            <w:r>
              <w:rPr>
                <w:b w:val="0"/>
                <w:sz w:val="16"/>
              </w:rPr>
              <w:t>Águas</w:t>
            </w:r>
          </w:p>
        </w:tc>
        <w:tc>
          <w:tcPr>
            <w:tcW w:type="dxa" w:w="3175"/>
            <w:shd w:val="clear" w:fill="F7F9FB"/>
          </w:tcPr>
          <w:p>
            <w:r/>
            <w:r>
              <w:rPr>
                <w:b w:val="0"/>
                <w:sz w:val="16"/>
              </w:rPr>
              <w:t>CONAMA 357/2005 [28]</w:t>
            </w:r>
          </w:p>
        </w:tc>
        <w:tc>
          <w:tcPr>
            <w:tcW w:type="dxa" w:w="4762"/>
            <w:shd w:val="clear" w:fill="F7F9FB"/>
          </w:tcPr>
          <w:p>
            <w:r/>
            <w:r>
              <w:rPr>
                <w:b w:val="0"/>
                <w:sz w:val="16"/>
              </w:rPr>
              <w:t>Referência de classificação de corpos hídricos (contexto de reúso/descarte)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fill="E3F2E3"/>
            <w:tcBorders>
              <w:top w:sz="8" w:val="single" w:color="1E3A5F"/>
              <w:left w:sz="8" w:val="single" w:color="1E3A5F"/>
              <w:bottom w:sz="8" w:val="single" w:color="1E3A5F"/>
              <w:right w:sz="8" w:val="single" w:color="1E3A5F"/>
            </w:tcBorders>
          </w:tcPr>
          <w:p>
            <w:r/>
            <w:r>
              <w:rPr>
                <w:b/>
                <w:color w:val="1E3A5F"/>
              </w:rPr>
              <w:t>Conformidade como projeto, não como burocracia</w:t>
              <w:br/>
            </w:r>
            <w:r>
              <w:rPr>
                <w:sz w:val="20"/>
              </w:rPr>
              <w:t>A câmara UV opaca com intertravamento, o perfil mineral documentado (Ca 45 / Mg 18 mg/L) e o registro auditável de cada ciclo são decisões de engenharia orientadas por INMETRO/ANVISA — e não adaptações posteriores.</w:t>
            </w:r>
          </w:p>
        </w:tc>
      </w:tr>
    </w:tbl>
    <w:p/>
    <w:p>
      <w:r>
        <w:br w:type="page"/>
      </w:r>
    </w:p>
    <w:p>
      <w:pPr>
        <w:pStyle w:val="Heading1"/>
        <w:spacing w:before="240" w:after="120"/>
      </w:pPr>
      <w:r>
        <w:t>5 Instruções Computacionais</w:t>
      </w:r>
    </w:p>
    <w:p>
      <w:pPr>
        <w:spacing w:after="80" w:line="276" w:lineRule="auto"/>
      </w:pPr>
      <w:r>
        <w:rPr>
          <w:i w:val="0"/>
        </w:rPr>
        <w:t>A reprodução integral deste trabalho requer apenas um toolchain GNU com C++23, Python ≥ 3.10, CMake e, opcionalmente, Qt5. Os comandos abaixo reproduzem todos os resultados das Seções 4:</w:t>
      </w:r>
    </w:p>
    <w:p>
      <w:pPr>
        <w:spacing w:before="160" w:after="80"/>
      </w:pPr>
      <w:r>
        <w:rPr>
          <w:b/>
          <w:color w:val="1B5E20"/>
          <w:sz w:val="24"/>
        </w:rPr>
        <w:t>5.1 Núcleo nativo e testes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fill="F5F5F5"/>
            <w:tcBorders>
              <w:top w:sz="6" w:val="single" w:color="B0B0B0"/>
              <w:left w:sz="6" w:val="single" w:color="B0B0B0"/>
              <w:bottom w:sz="6" w:val="single" w:color="B0B0B0"/>
              <w:right w:sz="6" w:val="single" w:color="B0B0B0"/>
            </w:tcBorders>
          </w:tcPr>
          <w:p>
            <w:r/>
            <w:r>
              <w:rPr>
                <w:rFonts w:ascii="Courier New" w:hAnsi="Courier New"/>
                <w:sz w:val="17"/>
              </w:rPr>
              <w:t>cmake -S src/core -B build -DCMAKE_BUILD_TYPE=Release</w:t>
              <w:br/>
            </w:r>
            <w:r>
              <w:rPr>
                <w:rFonts w:ascii="Courier New" w:hAnsi="Courier New"/>
                <w:sz w:val="17"/>
              </w:rPr>
              <w:t>cmake --build build -j"$(nproc)"        # gera src/core e build/tupan_sim</w:t>
              <w:br/>
            </w:r>
            <w:r>
              <w:rPr>
                <w:rFonts w:ascii="Courier New" w:hAnsi="Courier New"/>
                <w:sz w:val="17"/>
              </w:rPr>
              <w:t>./build/tupan_tests                     # 35 testes unitários (C++)</w:t>
              <w:br/>
            </w:r>
            <w:r>
              <w:rPr>
                <w:rFonts w:ascii="Courier New" w:hAnsi="Courier New"/>
                <w:sz w:val="17"/>
              </w:rPr>
              <w:t>./build/tupan_sim --night 8 --day 6 --ur 68 --temp 24</w:t>
              <w:br/>
            </w:r>
            <w:r>
              <w:rPr>
                <w:rFonts w:ascii="Courier New" w:hAnsi="Courier New"/>
                <w:sz w:val="17"/>
              </w:rPr>
              <w:t>./build/tupan_sim --json                # saída legível por máquina</w:t>
              <w:br/>
            </w:r>
          </w:p>
        </w:tc>
      </w:tr>
    </w:tbl>
    <w:p>
      <w:pPr>
        <w:jc w:val="center"/>
      </w:pPr>
      <w:r>
        <w:rPr>
          <w:i/>
          <w:color w:val="595959"/>
          <w:sz w:val="18"/>
        </w:rPr>
        <w:t>Quadro 4 — Compilação, teste e simulação do núcleo C++23.</w:t>
      </w:r>
    </w:p>
    <w:p>
      <w:pPr>
        <w:spacing w:before="160" w:after="80"/>
      </w:pPr>
      <w:r>
        <w:rPr>
          <w:b/>
          <w:color w:val="1B5E20"/>
          <w:sz w:val="24"/>
        </w:rPr>
        <w:t>5.2 Esteira de dados e custo de energia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fill="F5F5F5"/>
            <w:tcBorders>
              <w:top w:sz="6" w:val="single" w:color="B0B0B0"/>
              <w:left w:sz="6" w:val="single" w:color="B0B0B0"/>
              <w:bottom w:sz="6" w:val="single" w:color="B0B0B0"/>
              <w:right w:sz="6" w:val="single" w:color="B0B0B0"/>
            </w:tcBorders>
          </w:tcPr>
          <w:p>
            <w:r/>
            <w:r>
              <w:rPr>
                <w:rFonts w:ascii="Courier New" w:hAnsi="Courier New"/>
                <w:sz w:val="17"/>
              </w:rPr>
              <w:t>cd tools/pipeline</w:t>
              <w:br/>
            </w:r>
            <w:r>
              <w:rPr>
                <w:rFonts w:ascii="Courier New" w:hAnsi="Courier New"/>
                <w:sz w:val="17"/>
              </w:rPr>
              <w:t>python3 analise_dados.py   # ERA5/Open-Meteo + ML + projeções</w:t>
              <w:br/>
            </w:r>
            <w:r>
              <w:rPr>
                <w:rFonts w:ascii="Courier New" w:hAnsi="Courier New"/>
                <w:sz w:val="17"/>
              </w:rPr>
              <w:t>python3 custo_energia.py   # tarifas ANEEL + bandeiras + TSEE</w:t>
              <w:br/>
            </w:r>
          </w:p>
        </w:tc>
      </w:tr>
    </w:tbl>
    <w:p>
      <w:pPr>
        <w:jc w:val="center"/>
      </w:pPr>
      <w:r>
        <w:rPr>
          <w:i/>
          <w:color w:val="595959"/>
          <w:sz w:val="18"/>
        </w:rPr>
        <w:t>Quadro 5 — Pipeline de dados climáticos e econômicos.</w:t>
      </w:r>
    </w:p>
    <w:p>
      <w:pPr>
        <w:spacing w:before="160" w:after="80"/>
      </w:pPr>
      <w:r>
        <w:rPr>
          <w:b/>
          <w:color w:val="1B5E20"/>
          <w:sz w:val="24"/>
        </w:rPr>
        <w:t>5.3 Servidor web e testes Python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fill="F5F5F5"/>
            <w:tcBorders>
              <w:top w:sz="6" w:val="single" w:color="B0B0B0"/>
              <w:left w:sz="6" w:val="single" w:color="B0B0B0"/>
              <w:bottom w:sz="6" w:val="single" w:color="B0B0B0"/>
              <w:right w:sz="6" w:val="single" w:color="B0B0B0"/>
            </w:tcBorders>
          </w:tcPr>
          <w:p>
            <w:r/>
            <w:r>
              <w:rPr>
                <w:rFonts w:ascii="Courier New" w:hAnsi="Courier New"/>
                <w:sz w:val="17"/>
              </w:rPr>
              <w:t>cd tools/server &amp;&amp; python3 simulador_tupan.py   # :5000</w:t>
              <w:br/>
            </w:r>
            <w:r>
              <w:rPr>
                <w:rFonts w:ascii="Courier New" w:hAnsi="Courier New"/>
                <w:sz w:val="17"/>
              </w:rPr>
              <w:t>cd tools/tests  &amp;&amp; python3 -m pytest -q         # 21 testes</w:t>
              <w:br/>
            </w:r>
          </w:p>
        </w:tc>
      </w:tr>
    </w:tbl>
    <w:p>
      <w:pPr>
        <w:jc w:val="center"/>
      </w:pPr>
      <w:r>
        <w:rPr>
          <w:i/>
          <w:color w:val="595959"/>
          <w:sz w:val="18"/>
        </w:rPr>
        <w:t>Quadro 6 — Simulador web e suíte Python.</w:t>
      </w:r>
    </w:p>
    <w:p>
      <w:pPr>
        <w:spacing w:before="160" w:after="80"/>
      </w:pPr>
      <w:r>
        <w:rPr>
          <w:b/>
          <w:color w:val="1B5E20"/>
          <w:sz w:val="24"/>
        </w:rPr>
        <w:t>5.4 Firmware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fill="F5F5F5"/>
            <w:tcBorders>
              <w:top w:sz="6" w:val="single" w:color="B0B0B0"/>
              <w:left w:sz="6" w:val="single" w:color="B0B0B0"/>
              <w:bottom w:sz="6" w:val="single" w:color="B0B0B0"/>
              <w:right w:sz="6" w:val="single" w:color="B0B0B0"/>
            </w:tcBorders>
          </w:tcPr>
          <w:p>
            <w:r/>
            <w:r>
              <w:rPr>
                <w:rFonts w:ascii="Courier New" w:hAnsi="Courier New"/>
                <w:sz w:val="17"/>
              </w:rPr>
              <w:t>cd src/firmware</w:t>
              <w:br/>
            </w:r>
            <w:r>
              <w:rPr>
                <w:rFonts w:ascii="Courier New" w:hAnsi="Courier New"/>
                <w:sz w:val="17"/>
              </w:rPr>
              <w:t># Arduino IDE: abrir tupan_firmware.hpp + main.cpp (Mega 2560)</w:t>
              <w:br/>
            </w:r>
            <w:r>
              <w:rPr>
                <w:rFonts w:ascii="Courier New" w:hAnsi="Courier New"/>
                <w:sz w:val="17"/>
              </w:rPr>
              <w:t># PlatformIO:  pio run &amp;&amp; pio run -t upload</w:t>
              <w:br/>
            </w:r>
          </w:p>
        </w:tc>
      </w:tr>
    </w:tbl>
    <w:p>
      <w:pPr>
        <w:jc w:val="center"/>
      </w:pPr>
      <w:r>
        <w:rPr>
          <w:i/>
          <w:color w:val="595959"/>
          <w:sz w:val="18"/>
        </w:rPr>
        <w:t>Quadro 7 — Compilação do firmware MVC/FSM.</w:t>
      </w:r>
    </w:p>
    <w:p>
      <w:pPr>
        <w:spacing w:before="160" w:after="80"/>
      </w:pPr>
      <w:r>
        <w:rPr>
          <w:b/>
          <w:color w:val="1B5E20"/>
          <w:sz w:val="24"/>
        </w:rPr>
        <w:t>5.5 Interface interativa e scripting (Lua)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fill="F5F5F5"/>
            <w:tcBorders>
              <w:top w:sz="6" w:val="single" w:color="B0B0B0"/>
              <w:left w:sz="6" w:val="single" w:color="B0B0B0"/>
              <w:bottom w:sz="6" w:val="single" w:color="B0B0B0"/>
              <w:right w:sz="6" w:val="single" w:color="B0B0B0"/>
            </w:tcBorders>
          </w:tcPr>
          <w:p>
            <w:r/>
            <w:r>
              <w:rPr>
                <w:rFonts w:ascii="Courier New" w:hAnsi="Courier New"/>
                <w:sz w:val="17"/>
              </w:rPr>
              <w:t>./build/tupan_studio        # UI: DSL Lua (sol2) + Dear ImGui + OpenGL 3.3</w:t>
              <w:br/>
            </w:r>
            <w:r>
              <w:rPr>
                <w:rFonts w:ascii="Courier New" w:hAnsi="Courier New"/>
                <w:sz w:val="17"/>
              </w:rPr>
              <w:t>./build/tupan_script        # scripts headless: módulo tupan.* (luaaa)</w:t>
              <w:br/>
            </w:r>
            <w:r>
              <w:rPr>
                <w:rFonts w:ascii="Courier New" w:hAnsi="Courier New"/>
                <w:sz w:val="17"/>
              </w:rPr>
              <w:t># a cena/menus vivem em src/studio/assets/studio.lua (recarregável)</w:t>
              <w:br/>
            </w:r>
          </w:p>
        </w:tc>
      </w:tr>
    </w:tbl>
    <w:p>
      <w:pPr>
        <w:jc w:val="center"/>
      </w:pPr>
      <w:r>
        <w:rPr>
          <w:i/>
          <w:color w:val="595959"/>
          <w:sz w:val="18"/>
        </w:rPr>
        <w:t>Quadro 8 — Studio interativo e runner Lua headless.</w:t>
      </w:r>
    </w:p>
    <w:p>
      <w:pPr>
        <w:spacing w:after="80" w:line="276" w:lineRule="auto"/>
      </w:pPr>
      <w:r>
        <w:rPr>
          <w:i w:val="0"/>
        </w:rPr>
        <w:t>A interface gráfica substitui a antiga GUI Qt por um studio cujo layout é um DSL Lua declarativo (formato de tabelas aninhadas, análogo a JSON) lido via sol2; a cena 3D usa OpenGL 3.3 e uma camada própria de álgebra linear (`math.hpp`, escalar `float`, `Mat4` column-major com `union`). No sentido inverso, o runner headless usa `luaaa` para expor o núcleo físico ao Lua. Ambos consomem `full_cycle(...)`, preservando a paridade numérica com CLI, pybind11 e serviço web.</w:t>
      </w:r>
    </w:p>
    <w:p>
      <w:pPr>
        <w:spacing w:after="80" w:line="276" w:lineRule="auto"/>
      </w:pPr>
      <w:r>
        <w:rPr>
          <w:i w:val="0"/>
        </w:rPr>
        <w:t>Os contratos de dados entre serviços são JSON/CSV estáveis (`data/`), e o desenho de microsserviços garante que o mesmo núcleo alimente CLI, studio, web e firmware — requisito de manutenibilidade conforme ISO/IEC 25010 [17].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486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01_painel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17 — App companheiro: painel de estado da FSM e nível da bacia.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486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04_controle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18 — App companheiro: controles de PWM, solenoide e servo-registro.</w:t>
      </w:r>
    </w:p>
    <w:p>
      <w:pPr>
        <w:pStyle w:val="Heading1"/>
        <w:spacing w:before="240" w:after="120"/>
      </w:pPr>
      <w:r>
        <w:t>6 Considerações Finais</w:t>
      </w:r>
    </w:p>
    <w:p>
      <w:pPr>
        <w:spacing w:after="80" w:line="276" w:lineRule="auto"/>
      </w:pPr>
      <w:r>
        <w:rPr>
          <w:i w:val="0"/>
        </w:rPr>
        <w:t>O trabalho demonstra a viabilidade técnica de um gerador de água atmosférica sem compressor para o semiárido brasileiro, com produção de 0,68 L/ciclo, 593,8 L/ano por unidade e eficiência de 0,43 L/kWh. A modelagem físico-química — sorção de CaCl₂, regeneração por solenoide a 120 °C, destilação em vidraria e pós-tratamento mineralizante/UV — foi validada por 56 testes automatizados e por dados climáticos reais. O custo energético varia de R$ 2,36/L (tarifa plena) a R$ 0,83/L (Tarifa Social).</w:t>
      </w:r>
    </w:p>
    <w:p>
      <w:pPr>
        <w:spacing w:after="80" w:line="276" w:lineRule="auto"/>
      </w:pPr>
      <w:r>
        <w:rPr>
          <w:i w:val="0"/>
        </w:rPr>
        <w:t>A principal contribuição crítica é a advertência de escala: sem solarização e logística reversa do sal, a adoção massiva desloca o problema ambiental em vez de resolvê-lo. Trabalhos futuros incluem ensaio laboratorial de potabilidade segundo parâmetros ANVISA, protótipo com sensores reais, e avaliação de ciclo de vida completa.</w:t>
      </w:r>
    </w:p>
    <w:p>
      <w:pPr>
        <w:pStyle w:val="Heading1"/>
        <w:spacing w:before="240" w:after="120"/>
      </w:pPr>
      <w:r>
        <w:t>Referências</w:t>
      </w:r>
    </w:p>
    <w:p>
      <w:pPr>
        <w:ind w:left="720" w:hanging="720"/>
      </w:pPr>
      <w:r>
        <w:t>[1] HERSBACH, H. et al. The ERA5 global reanalysis. Quarterly Journal of the Royal Meteorological Society, v. 146, n. 730, p. 1999–2049, 2020.</w:t>
      </w:r>
    </w:p>
    <w:p>
      <w:pPr>
        <w:ind w:left="720" w:hanging="720"/>
      </w:pPr>
      <w:r>
        <w:t>[2] LAWRENCE, M. G. The relationship between relative humidity and the dewpoint temperature in moist air. Bulletin of the American Meteorological Society, v. 86, n. 2, p. 225–234, 2005.</w:t>
      </w:r>
    </w:p>
    <w:p>
      <w:pPr>
        <w:ind w:left="720" w:hanging="720"/>
      </w:pPr>
      <w:r>
        <w:t>[3] CENGEL, Y. A.; BOLES, M. A. Thermodynamics: an engineering approach. 9. ed. New York: McGraw-Hill, 2019.</w:t>
      </w:r>
    </w:p>
    <w:p>
      <w:pPr>
        <w:ind w:left="720" w:hanging="720"/>
      </w:pPr>
      <w:r>
        <w:t>[4] INCROPERA, F. P.; DEWITT, D. P.; BERGMAN, T. L.; LAVINE, A. S. Fundamentals of heat and mass transfer. 8. ed. Hoboken: Wiley, 2018.</w:t>
      </w:r>
    </w:p>
    <w:p>
      <w:pPr>
        <w:ind w:left="720" w:hanging="720"/>
      </w:pPr>
      <w:r>
        <w:t>[5] GEANKOPLIS, C. J. Transport processes and separation process principles. 5. ed. Upper Saddle River: Prentice Hall, 2018.</w:t>
      </w:r>
    </w:p>
    <w:p>
      <w:pPr>
        <w:ind w:left="720" w:hanging="720"/>
      </w:pPr>
      <w:r>
        <w:t>[6] MILANI, D. et al. Modeling and simulation of an atmospheric water generator using a liquid desiccant. Applied Thermal Engineering, v. 89, p. 426–436, 2015.</w:t>
      </w:r>
    </w:p>
    <w:p>
      <w:pPr>
        <w:ind w:left="720" w:hanging="720"/>
      </w:pPr>
      <w:r>
        <w:t>[7] GIDO, B.; FRIEDLER, E.; BRODAY, D. M. Assessment of atmospheric water vapor flux distribution: availability for fresh water extraction. Water Research, v. 105, p. 119–129, 2016.</w:t>
      </w:r>
    </w:p>
    <w:p>
      <w:pPr>
        <w:ind w:left="720" w:hanging="720"/>
      </w:pPr>
      <w:r>
        <w:t>[8] BEYSENS, D. et al. Dew water collector for potable water in Ajaccio (Corsica Island, France). Atmospheric Research, v. 86, n. 3–4, p. 291–302, 2007.</w:t>
      </w:r>
    </w:p>
    <w:p>
      <w:pPr>
        <w:ind w:left="720" w:hanging="720"/>
      </w:pPr>
      <w:r>
        <w:t>[9] METROPOLIS, N.; ULAM, S. The Monte Carlo method. Journal of the American Statistical Association, v. 44, n. 247, p. 335–341, 1949.</w:t>
      </w:r>
    </w:p>
    <w:p>
      <w:pPr>
        <w:ind w:left="720" w:hanging="720"/>
      </w:pPr>
      <w:r>
        <w:t>[10] MARSAAGLIA, G. Xorshift RNGs. Journal of Statistical Software, v. 8, n. 14, p. 1–6, 2003.</w:t>
      </w:r>
    </w:p>
    <w:p>
      <w:pPr>
        <w:ind w:left="720" w:hanging="720"/>
      </w:pPr>
      <w:r>
        <w:t>[11] PEDREGOSA, F. et al. Scikit-learn: machine learning in Python. Journal of Machine Learning Research, v. 12, p. 2825–2830, 2011.</w:t>
      </w:r>
    </w:p>
    <w:p>
      <w:pPr>
        <w:ind w:left="720" w:hanging="720"/>
      </w:pPr>
      <w:r>
        <w:t>[12] PASZKE, A. et al. PyTorch: an imperative style, high-performance deep learning library. In: ADVANCES IN NEURAL INFORMATION PROCESSING SYSTEMS, 32., 2019. Proceedings [...]. 2019.</w:t>
      </w:r>
    </w:p>
    <w:p>
      <w:pPr>
        <w:ind w:left="720" w:hanging="720"/>
      </w:pPr>
      <w:r>
        <w:t>[13] HOERL, A. E.; KENNARD, R. W. Ridge regression: biased estimation for nonorthogonal problems. Technometrics, v. 12, n. 1, p. 55–67, 1970.</w:t>
      </w:r>
    </w:p>
    <w:p>
      <w:pPr>
        <w:ind w:left="720" w:hanging="720"/>
      </w:pPr>
      <w:r>
        <w:t>[14] CHICK, H. An investigation of the laws of disinfection. Journal of Hygiene, v. 8, n. 1, p. 92–158, 1908.</w:t>
      </w:r>
    </w:p>
    <w:p>
      <w:pPr>
        <w:ind w:left="720" w:hanging="720"/>
      </w:pPr>
      <w:r>
        <w:t>[15] PEEL, M. C.; FINLAYSON, B. L.; MCMAHON, T. A. Updated world map of the Köppen-Geiger climate classification. Hydrology and Earth System Sciences, v. 11, p. 1633–1644, 2007.</w:t>
      </w:r>
    </w:p>
    <w:p>
      <w:pPr>
        <w:ind w:left="720" w:hanging="720"/>
      </w:pPr>
      <w:r>
        <w:t>[16] OASIS. MQTT Version 5.0. OASIS Standard, 2019. Disponível em: https://docs.oasis-open.org/mqtt/mqtt/v5.0/. Acesso em: 2026.</w:t>
      </w:r>
    </w:p>
    <w:p>
      <w:pPr>
        <w:ind w:left="720" w:hanging="720"/>
      </w:pPr>
      <w:r>
        <w:t>[17] INTERNATIONAL ORGANIZATION FOR STANDARDIZATION. ISO/IEC 25010:2011 — Systems and software engineering: quality requirements and evaluation. Geneva: ISO, 2011.</w:t>
      </w:r>
    </w:p>
    <w:p>
      <w:pPr>
        <w:ind w:left="720" w:hanging="720"/>
      </w:pPr>
      <w:r>
        <w:t>[18] WORLD METEOROLOGICAL ORGANIZATION. Guide to meteorological instruments and methods of observation. WMO-No. 8. Geneva: WMO, 2021.</w:t>
      </w:r>
    </w:p>
    <w:p>
      <w:pPr>
        <w:ind w:left="720" w:hanging="720"/>
      </w:pPr>
      <w:r>
        <w:t>[19] AGÊNCIA NACIONAL DE ÁGUAS E SANEAMENTO BÁSICO. Atlas Águas: abastecimento urbano de água. Brasília: ANA, 2021.</w:t>
      </w:r>
    </w:p>
    <w:p>
      <w:pPr>
        <w:ind w:left="720" w:hanging="720"/>
      </w:pPr>
      <w:r>
        <w:t>[20] MARENGO, J. A.; TORRES, R. R.; ALVES, L. M. Drought in Northeast Brazil: past, present, and future. Theoretical and Applied Climatology, v. 129, p. 1189–1200, 2017.</w:t>
      </w:r>
    </w:p>
    <w:p>
      <w:pPr>
        <w:ind w:left="720" w:hanging="720"/>
      </w:pPr>
      <w:r>
        <w:t>[21] BRASIL. Lei nº 11.445, de 5 de janeiro de 2007. Estabelece diretrizes nacionais para o saneamento básico. Diário Oficial da União, Brasília, 2007.</w:t>
      </w:r>
    </w:p>
    <w:p>
      <w:pPr>
        <w:ind w:left="720" w:hanging="720"/>
      </w:pPr>
      <w:r>
        <w:t>[22] BRASIL. Lei nº 12.305, de 2 de agosto de 2010. Institui a Política Nacional de Resíduos Sólidos. Diário Oficial da União, Brasília, 2010.</w:t>
      </w:r>
    </w:p>
    <w:p>
      <w:pPr>
        <w:ind w:left="720" w:hanging="720"/>
      </w:pPr>
      <w:r>
        <w:t>[23] BRASIL. Lei nº 13.709, de 14 de agosto de 2018. Lei Geral de Proteção de Dados Pessoais (LGPD). Diário Oficial da União, Brasília, 2018.</w:t>
      </w:r>
    </w:p>
    <w:p>
      <w:pPr>
        <w:ind w:left="720" w:hanging="720"/>
      </w:pPr>
      <w:r>
        <w:t>[24] BRASIL. Lei nº 14.541, de 3 de abril de 2023. Dispõe sobre a Tarifa Social de Energia Elétrica. Diário Oficial da União, Brasília, 2023.</w:t>
      </w:r>
    </w:p>
    <w:p>
      <w:pPr>
        <w:ind w:left="720" w:hanging="720"/>
      </w:pPr>
      <w:r>
        <w:t>[25] AGÊNCIA NACIONAL DE VIGILÂNCIA SANITÁRIA. Portaria de Consolidação nº 5, de 28 de setembro de 2017, Anexo XX: potabilidade da água para consumo humano. Brasília: ANVISA, 2017.</w:t>
      </w:r>
    </w:p>
    <w:p>
      <w:pPr>
        <w:ind w:left="720" w:hanging="720"/>
      </w:pPr>
      <w:r>
        <w:t>[26] INSTITUTO NACIONAL DE METROLOGIA, QUALIDADE E TECNOLOGIA. Portaria nº 344, de 25 de julho de 2017: requisitos para sistemas de tratamento de água para consumo humano. Brasília: INMETRO, 2017.</w:t>
      </w:r>
    </w:p>
    <w:p>
      <w:pPr>
        <w:ind w:left="720" w:hanging="720"/>
      </w:pPr>
      <w:r>
        <w:t>[27] AGÊNCIA NACIONAL DE ENERGIA ELÉTRICA. Resolução Normativa nº 1.000, de 7 de dezembro de 2021. Brasília: ANEEL, 2021.</w:t>
      </w:r>
    </w:p>
    <w:p>
      <w:pPr>
        <w:ind w:left="720" w:hanging="720"/>
      </w:pPr>
      <w:r>
        <w:t>[28] CONSELHO NACIONAL DO MEIO AMBIENTE. Resolução nº 357, de 17 de março de 2005: classificação dos corpos de água. Brasília: CONAMA, 2005.</w:t>
      </w:r>
    </w:p>
    <w:p>
      <w:pPr>
        <w:ind w:left="720" w:hanging="720"/>
      </w:pPr>
      <w:r>
        <w:t>[29] ASSOCIAÇÃO BRASILEIRA DE NORMAS TÉCNICAS. NBR 5410: instalações elétricas de baixa tensão. Rio de Janeiro: ABNT, 2004.</w:t>
      </w:r>
    </w:p>
    <w:p>
      <w:pPr>
        <w:ind w:left="720" w:hanging="720"/>
      </w:pPr>
      <w:r>
        <w:t>[30] ASSOCIAÇÃO BRASILEIRA DE NORMAS TÉCNICAS. NBR 14724: informação e documentação — trabalhos acadêmicos. Rio de Janeiro: ABNT, 2011.</w:t>
      </w:r>
    </w:p>
    <w:p>
      <w:pPr>
        <w:ind w:left="720" w:hanging="720"/>
      </w:pPr>
      <w:r>
        <w:t>[31] INSTITUTO BRASILEIRO DE GEOGRAFIA E ESTATÍSTICA. Censo Demográfico 2022. Rio de Janeiro: IBGE, 2023.</w:t>
      </w:r>
    </w:p>
    <w:p>
      <w:pPr>
        <w:ind w:left="720" w:hanging="720"/>
      </w:pPr>
      <w:r>
        <w:t>[32] SUPERINTENDÊNCIA DO DESENVOLVIMENTO DO NORDESTE. Delimitação do semiárido brasileiro. Recife: SUDENE, 2021.</w:t>
      </w:r>
    </w:p>
    <w:p>
      <w:pPr>
        <w:ind w:left="720" w:hanging="720"/>
      </w:pPr>
      <w:r>
        <w:t>[33] REBOUÇAS, A. C. Águas subterrâneas. In: REBOUÇAS, A. C.; BRAGA, B.; TUNDISI, J. G. (org.). Águas doces no Brasil: capital ecológico, uso e conservação. 3. ed. São Paulo: Escrituras, 2006.</w:t>
      </w:r>
    </w:p>
    <w:p>
      <w:r>
        <w:br w:type="page"/>
      </w:r>
    </w:p>
    <w:p>
      <w:pPr>
        <w:pStyle w:val="Heading1"/>
        <w:spacing w:before="240" w:after="120"/>
      </w:pPr>
      <w:r>
        <w:t>Apêndice A — Lista de Materiais (BOM)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567"/>
            <w:shd w:val="clear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2381"/>
            <w:shd w:val="clear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2948"/>
            <w:shd w:val="clear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Especificação</w:t>
            </w:r>
          </w:p>
        </w:tc>
        <w:tc>
          <w:tcPr>
            <w:tcW w:type="dxa" w:w="680"/>
            <w:shd w:val="clear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Qtd</w:t>
            </w:r>
          </w:p>
        </w:tc>
        <w:tc>
          <w:tcPr>
            <w:tcW w:type="dxa" w:w="1020"/>
            <w:shd w:val="clear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R$</w:t>
            </w:r>
          </w:p>
        </w:tc>
      </w:tr>
      <w:tr>
        <w:tc>
          <w:tcPr>
            <w:tcW w:type="dxa" w:w="567"/>
            <w:shd w:val="clear" w:fill="F7F9FB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381"/>
            <w:shd w:val="clear" w:fill="F7F9FB"/>
          </w:tcPr>
          <w:p>
            <w:r/>
            <w:r>
              <w:rPr>
                <w:b w:val="0"/>
                <w:sz w:val="16"/>
              </w:rPr>
              <w:t>Arduino Mega 2560</w:t>
            </w:r>
          </w:p>
        </w:tc>
        <w:tc>
          <w:tcPr>
            <w:tcW w:type="dxa" w:w="2948"/>
            <w:shd w:val="clear" w:fill="F7F9FB"/>
          </w:tcPr>
          <w:p>
            <w:r/>
            <w:r>
              <w:rPr>
                <w:b w:val="0"/>
                <w:sz w:val="16"/>
              </w:rPr>
              <w:t>ATmega2560</w:t>
            </w:r>
          </w:p>
        </w:tc>
        <w:tc>
          <w:tcPr>
            <w:tcW w:type="dxa" w:w="680"/>
            <w:shd w:val="clear" w:fill="F7F9FB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020"/>
            <w:shd w:val="clear" w:fill="F7F9FB"/>
          </w:tcPr>
          <w:p>
            <w:r/>
            <w:r>
              <w:rPr>
                <w:b w:val="0"/>
                <w:sz w:val="16"/>
              </w:rPr>
              <w:t>120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6"/>
              </w:rPr>
              <w:t>Ventoinhas 12 V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sz w:val="16"/>
              </w:rPr>
              <w:t>120 mm, 2,5 W</w:t>
            </w:r>
          </w:p>
        </w:tc>
        <w:tc>
          <w:tcPr>
            <w:tcW w:type="dxa" w:w="680"/>
          </w:tcPr>
          <w:p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6"/>
              </w:rPr>
              <w:t>30</w:t>
            </w:r>
          </w:p>
        </w:tc>
      </w:tr>
      <w:tr>
        <w:tc>
          <w:tcPr>
            <w:tcW w:type="dxa" w:w="567"/>
            <w:shd w:val="clear" w:fill="F7F9FB"/>
          </w:tcPr>
          <w:p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381"/>
            <w:shd w:val="clear" w:fill="F7F9FB"/>
          </w:tcPr>
          <w:p>
            <w:r/>
            <w:r>
              <w:rPr>
                <w:b w:val="0"/>
                <w:sz w:val="16"/>
              </w:rPr>
              <w:t>Solenoide/resistência</w:t>
            </w:r>
          </w:p>
        </w:tc>
        <w:tc>
          <w:tcPr>
            <w:tcW w:type="dxa" w:w="2948"/>
            <w:shd w:val="clear" w:fill="F7F9FB"/>
          </w:tcPr>
          <w:p>
            <w:r/>
            <w:r>
              <w:rPr>
                <w:b w:val="0"/>
                <w:sz w:val="16"/>
              </w:rPr>
              <w:t>250 W, 12/24 V</w:t>
            </w:r>
          </w:p>
        </w:tc>
        <w:tc>
          <w:tcPr>
            <w:tcW w:type="dxa" w:w="680"/>
            <w:shd w:val="clear" w:fill="F7F9FB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020"/>
            <w:shd w:val="clear" w:fill="F7F9FB"/>
          </w:tcPr>
          <w:p>
            <w:r/>
            <w:r>
              <w:rPr>
                <w:b w:val="0"/>
                <w:sz w:val="16"/>
              </w:rPr>
              <w:t>60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6"/>
              </w:rPr>
              <w:t>Servo MG996R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sz w:val="16"/>
              </w:rPr>
              <w:t>registo de ar</w:t>
            </w:r>
          </w:p>
        </w:tc>
        <w:tc>
          <w:tcPr>
            <w:tcW w:type="dxa" w:w="680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6"/>
              </w:rPr>
              <w:t>35</w:t>
            </w:r>
          </w:p>
        </w:tc>
      </w:tr>
      <w:tr>
        <w:tc>
          <w:tcPr>
            <w:tcW w:type="dxa" w:w="567"/>
            <w:shd w:val="clear" w:fill="F7F9FB"/>
          </w:tcPr>
          <w:p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381"/>
            <w:shd w:val="clear" w:fill="F7F9FB"/>
          </w:tcPr>
          <w:p>
            <w:r/>
            <w:r>
              <w:rPr>
                <w:b w:val="0"/>
                <w:sz w:val="16"/>
              </w:rPr>
              <w:t>MOSFET IRLZ44N</w:t>
            </w:r>
          </w:p>
        </w:tc>
        <w:tc>
          <w:tcPr>
            <w:tcW w:type="dxa" w:w="2948"/>
            <w:shd w:val="clear" w:fill="F7F9FB"/>
          </w:tcPr>
          <w:p>
            <w:r/>
            <w:r>
              <w:rPr>
                <w:b w:val="0"/>
                <w:sz w:val="16"/>
              </w:rPr>
              <w:t>drive ventoinhas/solenoide</w:t>
            </w:r>
          </w:p>
        </w:tc>
        <w:tc>
          <w:tcPr>
            <w:tcW w:type="dxa" w:w="680"/>
            <w:shd w:val="clear" w:fill="F7F9FB"/>
          </w:tcPr>
          <w:p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020"/>
            <w:shd w:val="clear" w:fill="F7F9FB"/>
          </w:tcPr>
          <w:p>
            <w:r/>
            <w:r>
              <w:rPr>
                <w:b w:val="0"/>
                <w:sz w:val="16"/>
              </w:rPr>
              <w:t>12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6"/>
              </w:rPr>
              <w:t>DHT22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sz w:val="16"/>
              </w:rPr>
              <w:t>UR + temperatura</w:t>
            </w:r>
          </w:p>
        </w:tc>
        <w:tc>
          <w:tcPr>
            <w:tcW w:type="dxa" w:w="680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6"/>
              </w:rPr>
              <w:t>40</w:t>
            </w:r>
          </w:p>
        </w:tc>
      </w:tr>
      <w:tr>
        <w:tc>
          <w:tcPr>
            <w:tcW w:type="dxa" w:w="567"/>
            <w:shd w:val="clear" w:fill="F7F9FB"/>
          </w:tcPr>
          <w:p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2381"/>
            <w:shd w:val="clear" w:fill="F7F9FB"/>
          </w:tcPr>
          <w:p>
            <w:r/>
            <w:r>
              <w:rPr>
                <w:b w:val="0"/>
                <w:sz w:val="16"/>
              </w:rPr>
              <w:t>DS18B20 (à prova d'água)</w:t>
            </w:r>
          </w:p>
        </w:tc>
        <w:tc>
          <w:tcPr>
            <w:tcW w:type="dxa" w:w="2948"/>
            <w:shd w:val="clear" w:fill="F7F9FB"/>
          </w:tcPr>
          <w:p>
            <w:r/>
            <w:r>
              <w:rPr>
                <w:b w:val="0"/>
                <w:sz w:val="16"/>
              </w:rPr>
              <w:t>leito e vapor</w:t>
            </w:r>
          </w:p>
        </w:tc>
        <w:tc>
          <w:tcPr>
            <w:tcW w:type="dxa" w:w="680"/>
            <w:shd w:val="clear" w:fill="F7F9FB"/>
          </w:tcPr>
          <w:p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020"/>
            <w:shd w:val="clear" w:fill="F7F9FB"/>
          </w:tcPr>
          <w:p>
            <w:r/>
            <w:r>
              <w:rPr>
                <w:b w:val="0"/>
                <w:sz w:val="16"/>
              </w:rPr>
              <w:t>30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6"/>
              </w:rPr>
              <w:t>Sensor de nível capacitivo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sz w:val="16"/>
              </w:rPr>
              <w:t>XKC-Y25-V</w:t>
            </w:r>
          </w:p>
        </w:tc>
        <w:tc>
          <w:tcPr>
            <w:tcW w:type="dxa" w:w="680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6"/>
              </w:rPr>
              <w:t>25</w:t>
            </w:r>
          </w:p>
        </w:tc>
      </w:tr>
      <w:tr>
        <w:tc>
          <w:tcPr>
            <w:tcW w:type="dxa" w:w="567"/>
            <w:shd w:val="clear" w:fill="F7F9FB"/>
          </w:tcPr>
          <w:p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2381"/>
            <w:shd w:val="clear" w:fill="F7F9FB"/>
          </w:tcPr>
          <w:p>
            <w:r/>
            <w:r>
              <w:rPr>
                <w:b w:val="0"/>
                <w:sz w:val="16"/>
              </w:rPr>
              <w:t>CaCl₂ grau técnico</w:t>
            </w:r>
          </w:p>
        </w:tc>
        <w:tc>
          <w:tcPr>
            <w:tcW w:type="dxa" w:w="2948"/>
            <w:shd w:val="clear" w:fill="F7F9FB"/>
          </w:tcPr>
          <w:p>
            <w:r/>
            <w:r>
              <w:rPr>
                <w:b w:val="0"/>
                <w:sz w:val="16"/>
              </w:rPr>
              <w:t>2 kg (pérolas)</w:t>
            </w:r>
          </w:p>
        </w:tc>
        <w:tc>
          <w:tcPr>
            <w:tcW w:type="dxa" w:w="680"/>
            <w:shd w:val="clear" w:fill="F7F9FB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020"/>
            <w:shd w:val="clear" w:fill="F7F9FB"/>
          </w:tcPr>
          <w:p>
            <w:r/>
            <w:r>
              <w:rPr>
                <w:b w:val="0"/>
                <w:sz w:val="16"/>
              </w:rPr>
              <w:t>30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6"/>
              </w:rPr>
              <w:t>Vidraria de laboratório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sz w:val="16"/>
              </w:rPr>
              <w:t>balão + condensador (reciclado)</w:t>
            </w:r>
          </w:p>
        </w:tc>
        <w:tc>
          <w:tcPr>
            <w:tcW w:type="dxa" w:w="680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6"/>
              </w:rPr>
              <w:t>0–80</w:t>
            </w:r>
          </w:p>
        </w:tc>
      </w:tr>
      <w:tr>
        <w:tc>
          <w:tcPr>
            <w:tcW w:type="dxa" w:w="567"/>
            <w:shd w:val="clear" w:fill="F7F9FB"/>
          </w:tcPr>
          <w:p>
            <w:r/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2381"/>
            <w:shd w:val="clear" w:fill="F7F9FB"/>
          </w:tcPr>
          <w:p>
            <w:r/>
            <w:r>
              <w:rPr>
                <w:b w:val="0"/>
                <w:sz w:val="16"/>
              </w:rPr>
              <w:t>Filtro mineralizante</w:t>
            </w:r>
          </w:p>
        </w:tc>
        <w:tc>
          <w:tcPr>
            <w:tcW w:type="dxa" w:w="2948"/>
            <w:shd w:val="clear" w:fill="F7F9FB"/>
          </w:tcPr>
          <w:p>
            <w:r/>
            <w:r>
              <w:rPr>
                <w:b w:val="0"/>
                <w:sz w:val="16"/>
              </w:rPr>
              <w:t>cartucho com calcita/dolomita</w:t>
            </w:r>
          </w:p>
        </w:tc>
        <w:tc>
          <w:tcPr>
            <w:tcW w:type="dxa" w:w="680"/>
            <w:shd w:val="clear" w:fill="F7F9FB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020"/>
            <w:shd w:val="clear" w:fill="F7F9FB"/>
          </w:tcPr>
          <w:p>
            <w:r/>
            <w:r>
              <w:rPr>
                <w:b w:val="0"/>
                <w:sz w:val="16"/>
              </w:rPr>
              <w:t>45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6"/>
              </w:rPr>
              <w:t>Lâmpada UV-C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sz w:val="16"/>
              </w:rPr>
              <w:t>6 W, 254 nm + reator</w:t>
            </w:r>
          </w:p>
        </w:tc>
        <w:tc>
          <w:tcPr>
            <w:tcW w:type="dxa" w:w="680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6"/>
              </w:rPr>
              <w:t>40</w:t>
            </w:r>
          </w:p>
        </w:tc>
      </w:tr>
      <w:tr>
        <w:tc>
          <w:tcPr>
            <w:tcW w:type="dxa" w:w="567"/>
            <w:shd w:val="clear" w:fill="F7F9FB"/>
          </w:tcPr>
          <w:p>
            <w:r/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2381"/>
            <w:shd w:val="clear" w:fill="F7F9FB"/>
          </w:tcPr>
          <w:p>
            <w:r/>
            <w:r>
              <w:rPr>
                <w:b w:val="0"/>
                <w:sz w:val="16"/>
              </w:rPr>
              <w:t>Fonte 12 V 30 A</w:t>
            </w:r>
          </w:p>
        </w:tc>
        <w:tc>
          <w:tcPr>
            <w:tcW w:type="dxa" w:w="2948"/>
            <w:shd w:val="clear" w:fill="F7F9FB"/>
          </w:tcPr>
          <w:p>
            <w:r/>
            <w:r>
              <w:rPr>
                <w:b w:val="0"/>
                <w:sz w:val="16"/>
              </w:rPr>
              <w:t>360 W</w:t>
            </w:r>
          </w:p>
        </w:tc>
        <w:tc>
          <w:tcPr>
            <w:tcW w:type="dxa" w:w="680"/>
            <w:shd w:val="clear" w:fill="F7F9FB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020"/>
            <w:shd w:val="clear" w:fill="F7F9FB"/>
          </w:tcPr>
          <w:p>
            <w:r/>
            <w:r>
              <w:rPr>
                <w:b w:val="0"/>
                <w:sz w:val="16"/>
              </w:rPr>
              <w:t>90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6"/>
              </w:rPr>
              <w:t>Módulo HC-05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sz w:val="16"/>
              </w:rPr>
              <w:t>Bluetooth SPP</w:t>
            </w:r>
          </w:p>
        </w:tc>
        <w:tc>
          <w:tcPr>
            <w:tcW w:type="dxa" w:w="680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6"/>
              </w:rPr>
              <w:t>25</w:t>
            </w:r>
          </w:p>
        </w:tc>
      </w:tr>
      <w:tr>
        <w:tc>
          <w:tcPr>
            <w:tcW w:type="dxa" w:w="567"/>
            <w:shd w:val="clear" w:fill="F7F9FB"/>
          </w:tcPr>
          <w:p>
            <w:r/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2381"/>
            <w:shd w:val="clear" w:fill="F7F9FB"/>
          </w:tcPr>
          <w:p>
            <w:r/>
            <w:r>
              <w:rPr>
                <w:b w:val="0"/>
                <w:sz w:val="16"/>
              </w:rPr>
              <w:t>Estrutura</w:t>
            </w:r>
          </w:p>
        </w:tc>
        <w:tc>
          <w:tcPr>
            <w:tcW w:type="dxa" w:w="2948"/>
            <w:shd w:val="clear" w:fill="F7F9FB"/>
          </w:tcPr>
          <w:p>
            <w:r/>
            <w:r>
              <w:rPr>
                <w:b w:val="0"/>
                <w:sz w:val="16"/>
              </w:rPr>
              <w:t>PLA impresso + MDF/acrílico</w:t>
            </w:r>
          </w:p>
        </w:tc>
        <w:tc>
          <w:tcPr>
            <w:tcW w:type="dxa" w:w="680"/>
            <w:shd w:val="clear" w:fill="F7F9FB"/>
          </w:tcPr>
          <w:p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020"/>
            <w:shd w:val="clear" w:fill="F7F9FB"/>
          </w:tcPr>
          <w:p>
            <w:r/>
            <w:r>
              <w:rPr>
                <w:b w:val="0"/>
                <w:sz w:val="16"/>
              </w:rPr>
              <w:t>30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6"/>
              </w:rPr>
              <w:t>Bacia com torneira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sz w:val="16"/>
              </w:rPr>
              <w:t>2 L, grau alimentício</w:t>
            </w:r>
          </w:p>
        </w:tc>
        <w:tc>
          <w:tcPr>
            <w:tcW w:type="dxa" w:w="680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6"/>
              </w:rPr>
              <w:t>15</w:t>
            </w:r>
          </w:p>
        </w:tc>
      </w:tr>
    </w:tbl>
    <w:p/>
    <w:p>
      <w:pPr>
        <w:spacing w:after="80" w:line="276" w:lineRule="auto"/>
      </w:pPr>
      <w:r>
        <w:rPr>
          <w:i w:val="0"/>
        </w:rPr>
        <w:t>Custo estimado em peças novas ≈ R$ 447; com componentes comumente já possuídos (Mega, HC-05, servos, ventoinhas), o custo real tende a R$ 300–350.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198111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a_capitai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981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19 — Capitais usadas na amostra climática.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3511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cronograma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351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20 — Cronograma do projeto (2026.2).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535424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xograma_firmwar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35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21 — Fluxograma da FSM do firmware (MVC, Arduino Mega).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49096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upan_cad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490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22 — Prancha técnica: vistas frontal/superior/lateral (cm).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16808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quema_eletrico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1680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23 — Esquema elétrico (Arduino Mega + sensores + atuadores).</w:t>
      </w:r>
    </w:p>
    <w:p>
      <w:pPr>
        <w:pStyle w:val="Heading1"/>
        <w:spacing w:before="240" w:after="120"/>
      </w:pPr>
      <w:r>
        <w:t>Apêndice B — Glossário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417"/>
            <w:shd w:val="clear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Sigla</w:t>
            </w:r>
          </w:p>
        </w:tc>
        <w:tc>
          <w:tcPr>
            <w:tcW w:type="dxa" w:w="7370"/>
            <w:shd w:val="clear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Definição</w:t>
            </w:r>
          </w:p>
        </w:tc>
      </w:tr>
      <w:tr>
        <w:tc>
          <w:tcPr>
            <w:tcW w:type="dxa" w:w="1417"/>
            <w:shd w:val="clear" w:fill="F7F9FB"/>
          </w:tcPr>
          <w:p>
            <w:r/>
            <w:r>
              <w:rPr>
                <w:b w:val="0"/>
                <w:sz w:val="16"/>
              </w:rPr>
              <w:t>AWG</w:t>
            </w:r>
          </w:p>
        </w:tc>
        <w:tc>
          <w:tcPr>
            <w:tcW w:type="dxa" w:w="7370"/>
            <w:shd w:val="clear" w:fill="F7F9FB"/>
          </w:tcPr>
          <w:p>
            <w:r/>
            <w:r>
              <w:rPr>
                <w:b w:val="0"/>
                <w:sz w:val="16"/>
              </w:rPr>
              <w:t>Atmospheric Water Generator — gerador de água atmosférica.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sz w:val="16"/>
              </w:rPr>
              <w:t>CaCl₂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6"/>
              </w:rPr>
              <w:t>Cloreto de cálcio, dessecante deliquescente usado no leito.</w:t>
            </w:r>
          </w:p>
        </w:tc>
      </w:tr>
      <w:tr>
        <w:tc>
          <w:tcPr>
            <w:tcW w:type="dxa" w:w="1417"/>
            <w:shd w:val="clear" w:fill="F7F9FB"/>
          </w:tcPr>
          <w:p>
            <w:r/>
            <w:r>
              <w:rPr>
                <w:b w:val="0"/>
                <w:sz w:val="16"/>
              </w:rPr>
              <w:t>FSM</w:t>
            </w:r>
          </w:p>
        </w:tc>
        <w:tc>
          <w:tcPr>
            <w:tcW w:type="dxa" w:w="7370"/>
            <w:shd w:val="clear" w:fill="F7F9FB"/>
          </w:tcPr>
          <w:p>
            <w:r/>
            <w:r>
              <w:rPr>
                <w:b w:val="0"/>
                <w:sz w:val="16"/>
              </w:rPr>
              <w:t>Finite State Machine — máquina de estados finitos.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sz w:val="16"/>
              </w:rPr>
              <w:t>LMTD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6"/>
              </w:rPr>
              <w:t>Log Mean Temperature Difference — diferença média logarítmica de temperatura.</w:t>
            </w:r>
          </w:p>
        </w:tc>
      </w:tr>
      <w:tr>
        <w:tc>
          <w:tcPr>
            <w:tcW w:type="dxa" w:w="1417"/>
            <w:shd w:val="clear" w:fill="F7F9FB"/>
          </w:tcPr>
          <w:p>
            <w:r/>
            <w:r>
              <w:rPr>
                <w:b w:val="0"/>
                <w:sz w:val="16"/>
              </w:rPr>
              <w:t>LSI</w:t>
            </w:r>
          </w:p>
        </w:tc>
        <w:tc>
          <w:tcPr>
            <w:tcW w:type="dxa" w:w="7370"/>
            <w:shd w:val="clear" w:fill="F7F9FB"/>
          </w:tcPr>
          <w:p>
            <w:r/>
            <w:r>
              <w:rPr>
                <w:b w:val="0"/>
                <w:sz w:val="16"/>
              </w:rPr>
              <w:t>Langelier Saturation Index — índice de saturação de carbonato.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sz w:val="16"/>
              </w:rPr>
              <w:t>MVC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6"/>
              </w:rPr>
              <w:t>Model-View-Controller — padrão arquitetural de software.</w:t>
            </w:r>
          </w:p>
        </w:tc>
      </w:tr>
      <w:tr>
        <w:tc>
          <w:tcPr>
            <w:tcW w:type="dxa" w:w="1417"/>
            <w:shd w:val="clear" w:fill="F7F9FB"/>
          </w:tcPr>
          <w:p>
            <w:r/>
            <w:r>
              <w:rPr>
                <w:b w:val="0"/>
                <w:sz w:val="16"/>
              </w:rPr>
              <w:t>PNRS</w:t>
            </w:r>
          </w:p>
        </w:tc>
        <w:tc>
          <w:tcPr>
            <w:tcW w:type="dxa" w:w="7370"/>
            <w:shd w:val="clear" w:fill="F7F9FB"/>
          </w:tcPr>
          <w:p>
            <w:r/>
            <w:r>
              <w:rPr>
                <w:b w:val="0"/>
                <w:sz w:val="16"/>
              </w:rPr>
              <w:t>Política Nacional de Resíduos Sólidos (Lei 12.305/2010).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sz w:val="16"/>
              </w:rPr>
              <w:t>RPN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6"/>
              </w:rPr>
              <w:t>Risk Priority Number — prioridade de risco em FMEA.</w:t>
            </w:r>
          </w:p>
        </w:tc>
      </w:tr>
      <w:tr>
        <w:tc>
          <w:tcPr>
            <w:tcW w:type="dxa" w:w="1417"/>
            <w:shd w:val="clear" w:fill="F7F9FB"/>
          </w:tcPr>
          <w:p>
            <w:r/>
            <w:r>
              <w:rPr>
                <w:b w:val="0"/>
                <w:sz w:val="16"/>
              </w:rPr>
              <w:t>TSEE</w:t>
            </w:r>
          </w:p>
        </w:tc>
        <w:tc>
          <w:tcPr>
            <w:tcW w:type="dxa" w:w="7370"/>
            <w:shd w:val="clear" w:fill="F7F9FB"/>
          </w:tcPr>
          <w:p>
            <w:r/>
            <w:r>
              <w:rPr>
                <w:b w:val="0"/>
                <w:sz w:val="16"/>
              </w:rPr>
              <w:t>Tarifa Social de Energia Elétrica (Lei 14.541/2023).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sz w:val="16"/>
              </w:rPr>
              <w:t>UV-C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6"/>
              </w:rPr>
              <w:t>Radiação ultravioleta germicida em 254 nm.</w:t>
            </w:r>
          </w:p>
        </w:tc>
      </w:tr>
    </w:tbl>
    <w:p/>
    <w:p>
      <w:pPr>
        <w:pStyle w:val="Heading1"/>
        <w:spacing w:before="240" w:after="120"/>
      </w:pPr>
      <w:r>
        <w:t>Apêndice C — Pinagem do firmware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474"/>
            <w:shd w:val="clear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Pino Mega</w:t>
            </w:r>
          </w:p>
        </w:tc>
        <w:tc>
          <w:tcPr>
            <w:tcW w:type="dxa" w:w="2948"/>
            <w:shd w:val="clear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Função</w:t>
            </w:r>
          </w:p>
        </w:tc>
        <w:tc>
          <w:tcPr>
            <w:tcW w:type="dxa" w:w="4082"/>
            <w:shd w:val="clear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Observação</w:t>
            </w:r>
          </w:p>
        </w:tc>
      </w:tr>
      <w:tr>
        <w:tc>
          <w:tcPr>
            <w:tcW w:type="dxa" w:w="1474"/>
            <w:shd w:val="clear" w:fill="F7F9FB"/>
          </w:tcPr>
          <w:p>
            <w:r/>
            <w:r>
              <w:rPr>
                <w:b w:val="0"/>
                <w:sz w:val="16"/>
              </w:rPr>
              <w:t>D2</w:t>
            </w:r>
          </w:p>
        </w:tc>
        <w:tc>
          <w:tcPr>
            <w:tcW w:type="dxa" w:w="2948"/>
            <w:shd w:val="clear" w:fill="F7F9FB"/>
          </w:tcPr>
          <w:p>
            <w:r/>
            <w:r>
              <w:rPr>
                <w:b w:val="0"/>
                <w:sz w:val="16"/>
              </w:rPr>
              <w:t>DHT22 (dados)</w:t>
            </w:r>
          </w:p>
        </w:tc>
        <w:tc>
          <w:tcPr>
            <w:tcW w:type="dxa" w:w="4082"/>
            <w:shd w:val="clear" w:fill="F7F9FB"/>
          </w:tcPr>
          <w:p>
            <w:r/>
            <w:r>
              <w:rPr>
                <w:b w:val="0"/>
                <w:sz w:val="16"/>
              </w:rPr>
              <w:t>pull-up 10 kΩ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 w:val="0"/>
                <w:sz w:val="16"/>
              </w:rPr>
              <w:t>D3 / D4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sz w:val="16"/>
              </w:rPr>
              <w:t>DS18B20 leito / vapor</w:t>
            </w:r>
          </w:p>
        </w:tc>
        <w:tc>
          <w:tcPr>
            <w:tcW w:type="dxa" w:w="4082"/>
          </w:tcPr>
          <w:p>
            <w:r/>
            <w:r>
              <w:rPr>
                <w:b w:val="0"/>
                <w:sz w:val="16"/>
              </w:rPr>
              <w:t>OneWire, pull-up 4,7 kΩ</w:t>
            </w:r>
          </w:p>
        </w:tc>
      </w:tr>
      <w:tr>
        <w:tc>
          <w:tcPr>
            <w:tcW w:type="dxa" w:w="1474"/>
            <w:shd w:val="clear" w:fill="F7F9FB"/>
          </w:tcPr>
          <w:p>
            <w:r/>
            <w:r>
              <w:rPr>
                <w:b w:val="0"/>
                <w:sz w:val="16"/>
              </w:rPr>
              <w:t>A0</w:t>
            </w:r>
          </w:p>
        </w:tc>
        <w:tc>
          <w:tcPr>
            <w:tcW w:type="dxa" w:w="2948"/>
            <w:shd w:val="clear" w:fill="F7F9FB"/>
          </w:tcPr>
          <w:p>
            <w:r/>
            <w:r>
              <w:rPr>
                <w:b w:val="0"/>
                <w:sz w:val="16"/>
              </w:rPr>
              <w:t>Nível da bacia</w:t>
            </w:r>
          </w:p>
        </w:tc>
        <w:tc>
          <w:tcPr>
            <w:tcW w:type="dxa" w:w="4082"/>
            <w:shd w:val="clear" w:fill="F7F9FB"/>
          </w:tcPr>
          <w:p>
            <w:r/>
            <w:r>
              <w:rPr>
                <w:b w:val="0"/>
                <w:sz w:val="16"/>
              </w:rPr>
              <w:t>analógico 0–5 V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 w:val="0"/>
                <w:sz w:val="16"/>
              </w:rPr>
              <w:t>D5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sz w:val="16"/>
              </w:rPr>
              <w:t>Ventoinhas (PWM)</w:t>
            </w:r>
          </w:p>
        </w:tc>
        <w:tc>
          <w:tcPr>
            <w:tcW w:type="dxa" w:w="4082"/>
          </w:tcPr>
          <w:p>
            <w:r/>
            <w:r>
              <w:rPr>
                <w:b w:val="0"/>
                <w:sz w:val="16"/>
              </w:rPr>
              <w:t>MOSFET + R 220 Ω</w:t>
            </w:r>
          </w:p>
        </w:tc>
      </w:tr>
      <w:tr>
        <w:tc>
          <w:tcPr>
            <w:tcW w:type="dxa" w:w="1474"/>
            <w:shd w:val="clear" w:fill="F7F9FB"/>
          </w:tcPr>
          <w:p>
            <w:r/>
            <w:r>
              <w:rPr>
                <w:b w:val="0"/>
                <w:sz w:val="16"/>
              </w:rPr>
              <w:t>D6</w:t>
            </w:r>
          </w:p>
        </w:tc>
        <w:tc>
          <w:tcPr>
            <w:tcW w:type="dxa" w:w="2948"/>
            <w:shd w:val="clear" w:fill="F7F9FB"/>
          </w:tcPr>
          <w:p>
            <w:r/>
            <w:r>
              <w:rPr>
                <w:b w:val="0"/>
                <w:sz w:val="16"/>
              </w:rPr>
              <w:t>Solenoide</w:t>
            </w:r>
          </w:p>
        </w:tc>
        <w:tc>
          <w:tcPr>
            <w:tcW w:type="dxa" w:w="4082"/>
            <w:shd w:val="clear" w:fill="F7F9FB"/>
          </w:tcPr>
          <w:p>
            <w:r/>
            <w:r>
              <w:rPr>
                <w:b w:val="0"/>
                <w:sz w:val="16"/>
              </w:rPr>
              <w:t>relé/MOSFET — nunca direto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 w:val="0"/>
                <w:sz w:val="16"/>
              </w:rPr>
              <w:t>D9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sz w:val="16"/>
              </w:rPr>
              <w:t>Servo-registro</w:t>
            </w:r>
          </w:p>
        </w:tc>
        <w:tc>
          <w:tcPr>
            <w:tcW w:type="dxa" w:w="4082"/>
          </w:tcPr>
          <w:p>
            <w:r/>
            <w:r>
              <w:rPr>
                <w:b w:val="0"/>
                <w:sz w:val="16"/>
              </w:rPr>
              <w:t>fonte 5 V dedicada</w:t>
            </w:r>
          </w:p>
        </w:tc>
      </w:tr>
      <w:tr>
        <w:tc>
          <w:tcPr>
            <w:tcW w:type="dxa" w:w="1474"/>
            <w:shd w:val="clear" w:fill="F7F9FB"/>
          </w:tcPr>
          <w:p>
            <w:r/>
            <w:r>
              <w:rPr>
                <w:b w:val="0"/>
                <w:sz w:val="16"/>
              </w:rPr>
              <w:t>A2/A3/A4</w:t>
            </w:r>
          </w:p>
        </w:tc>
        <w:tc>
          <w:tcPr>
            <w:tcW w:type="dxa" w:w="2948"/>
            <w:shd w:val="clear" w:fill="F7F9FB"/>
          </w:tcPr>
          <w:p>
            <w:r/>
            <w:r>
              <w:rPr>
                <w:b w:val="0"/>
                <w:sz w:val="16"/>
              </w:rPr>
              <w:t>Botões cima/baixo/select</w:t>
            </w:r>
          </w:p>
        </w:tc>
        <w:tc>
          <w:tcPr>
            <w:tcW w:type="dxa" w:w="4082"/>
            <w:shd w:val="clear" w:fill="F7F9FB"/>
          </w:tcPr>
          <w:p>
            <w:r/>
            <w:r>
              <w:rPr>
                <w:b w:val="0"/>
                <w:sz w:val="16"/>
              </w:rPr>
              <w:t>pull-up interno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 w:val="0"/>
                <w:sz w:val="16"/>
              </w:rPr>
              <w:t>D22/23/24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sz w:val="16"/>
              </w:rPr>
              <w:t>LEDs verde/amarelo/vermelho</w:t>
            </w:r>
          </w:p>
        </w:tc>
        <w:tc>
          <w:tcPr>
            <w:tcW w:type="dxa" w:w="4082"/>
          </w:tcPr>
          <w:p>
            <w:r/>
            <w:r>
              <w:rPr>
                <w:b w:val="0"/>
                <w:sz w:val="16"/>
              </w:rPr>
              <w:t>R 330 Ω</w:t>
            </w:r>
          </w:p>
        </w:tc>
      </w:tr>
      <w:tr>
        <w:tc>
          <w:tcPr>
            <w:tcW w:type="dxa" w:w="1474"/>
            <w:shd w:val="clear" w:fill="F7F9FB"/>
          </w:tcPr>
          <w:p>
            <w:r/>
            <w:r>
              <w:rPr>
                <w:b w:val="0"/>
                <w:sz w:val="16"/>
              </w:rPr>
              <w:t>TX1/RX0</w:t>
            </w:r>
          </w:p>
        </w:tc>
        <w:tc>
          <w:tcPr>
            <w:tcW w:type="dxa" w:w="2948"/>
            <w:shd w:val="clear" w:fill="F7F9FB"/>
          </w:tcPr>
          <w:p>
            <w:r/>
            <w:r>
              <w:rPr>
                <w:b w:val="0"/>
                <w:sz w:val="16"/>
              </w:rPr>
              <w:t>HC-05</w:t>
            </w:r>
          </w:p>
        </w:tc>
        <w:tc>
          <w:tcPr>
            <w:tcW w:type="dxa" w:w="4082"/>
            <w:shd w:val="clear" w:fill="F7F9FB"/>
          </w:tcPr>
          <w:p>
            <w:r/>
            <w:r>
              <w:rPr>
                <w:b w:val="0"/>
                <w:sz w:val="16"/>
              </w:rPr>
              <w:t>divisor resistivo no RX do Mega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Página </w:t>
      <w:fldChar w:fldCharType="begin"/>
      <w:instrText xml:space="preserve">PAGE</w:instrText>
      <w:fldChar w:fldCharType="end"/>
    </w:r>
    <w:r>
      <w:t xml:space="preserve"> de </w:t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E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1E3A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