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2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22"/>
          <w:szCs w:val="22"/>
        </w:rPr>
        <w:t xml:space="preserve">STOCK VECTOR STUDIO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50"/>
          <w:szCs w:val="50"/>
        </w:rPr>
        <w:t xml:space="preserve">Manuale utente</w:t>
      </w:r>
    </w:p>
    <w:p>
      <w:pPr>
        <w:spacing w:after="7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B82"/>
          <w:sz w:val="25"/>
          <w:szCs w:val="25"/>
        </w:rPr>
        <w:t xml:space="preserve">Guida operativa alla produzione e pubblicazione di contenuti stock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22"/>
          <w:szCs w:val="22"/>
        </w:rPr>
        <w:t xml:space="preserve">Versione 1.0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B82"/>
          <w:sz w:val="21"/>
          <w:szCs w:val="21"/>
        </w:rPr>
        <w:t xml:space="preserve">6 agosto 2026</w:t>
      </w:r>
    </w:p>
    <w:p>
      <w:pPr>
        <w:spacing w:after="65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B6B82"/>
          <w:sz w:val="21"/>
          <w:szCs w:val="21"/>
        </w:rPr>
        <w:t xml:space="preserve">Destinatari: creator, contributor e operatori del back-office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CAD5E2" w:sz="1"/>
              <w:left w:val="single" w:color="107C10" w:sz="18"/>
              <w:bottom w:val="single" w:color="CAD5E2" w:sz="1"/>
              <w:right w:val="single" w:color="CAD5E2" w:sz="1"/>
            </w:tcBorders>
            <w:shd w:fill="F5F9F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keepNext w:val="false"/>
              <w:spacing w:before="0" w:after="50" w:line="3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7C10"/>
                <w:sz w:val="21"/>
                <w:szCs w:val="21"/>
              </w:rPr>
              <w:t xml:space="preserve">Perimetro del documento</w:t>
            </w:r>
          </w:p>
          <w:p>
            <w:pPr>
              <w:keepNext w:val="false"/>
              <w:spacing w:before="0" w:after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La documentazione descrive la soluzione presente in C:\Code\ResizeImage e la configurazione sicura esposta dal runtime. Nessuna password, chiave, connection string o token è riportato.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1. Scopo e risultati attesi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Stock Vector Studio automatizza il percorso dalla selezione del tema fino alla consegna dei file alla pipeline esistente. Supporta sia contenuti vettoriali sia immagini raster, prepara i formati richiesti da Adobe Stock e Freepik e mantiene visibilità sull’intero ciclo.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Input: JPEG, PNG, WEBP e TIFF, anche multipli.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Output vettoriale: SVG, EPS e JPG; file AI quando è attivo il motore Illustrator.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Output raster: JPEG normalizzato, senza ricalco.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Metadati: provvisori nel sito; definitivi dalla Logic App dopo l’invio.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Controllo: punteggio SEO, monitoraggio job, code e stadi SharePoint.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CAD5E2" w:sz="1"/>
              <w:left w:val="single" w:color="0078D4" w:sz="18"/>
              <w:bottom w:val="single" w:color="CAD5E2" w:sz="1"/>
              <w:right w:val="single" w:color="CAD5E2" w:sz="1"/>
            </w:tcBorders>
            <w:shd w:fill="F5F9F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keepNext w:val="false"/>
              <w:spacing w:before="0" w:after="50" w:line="3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8D4"/>
                <w:sz w:val="21"/>
                <w:szCs w:val="21"/>
              </w:rPr>
              <w:t xml:space="preserve">Principio operativo</w:t>
            </w:r>
          </w:p>
          <w:p>
            <w:pPr>
              <w:keepNext w:val="false"/>
              <w:spacing w:before="0" w:after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Il sito prepara e controlla. La pipeline Azure esistente genera i metadati definitivi, scrive EXIF e invia ai marketplace.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2. Architettura in sintesi</w:t>
      </w:r>
    </w:p>
    <w:p>
      <w:pPr>
        <w:spacing w:before="120" w:after="160"/>
        <w:jc w:val="center"/>
      </w:pPr>
      <w:r>
        <w:drawing>
          <wp:inline distT="0" distB="0" distL="0" distR="0">
            <wp:extent cx="6667500" cy="4191000"/>
            <wp:effectExtent t="0" r="0" b="0" l="0"/>
            <wp:docPr id="1" name="StockVectorStudioArchitecture" descr="Diagramma delle risorse applicative, Microsoft 365, Azure e marketplace." title="Architettura Azure Stock Vector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Il flusso parte dall’applicativo, deposita i file nella libreria SharePoint ImagesToClassify, attraversa code, Azure Functions e Logic App, quindi raggiunge marketplace e librerie di archivio. Il callback riporta stato e metadati definitivi nel dashboard.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3. Accesso e prerequisiti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6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Indicazione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Frontend</w:t>
            </w:r>
          </w:p>
        </w:tc>
        <w:tc>
          <w:tcPr>
            <w:tcW w:type="dxa" w:w="6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http://127.0.0.1:5173 oppure URL dell’ambiente distribuito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Backend</w:t>
            </w:r>
          </w:p>
        </w:tc>
        <w:tc>
          <w:tcPr>
            <w:tcW w:type="dxa" w:w="6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Deve risultare Online nella scheda Sistema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Persistenza</w:t>
            </w:r>
          </w:p>
        </w:tc>
        <w:tc>
          <w:tcPr>
            <w:tcW w:type="dxa" w:w="6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Azurite in locale oppure Azure Table Storage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</w:t>
            </w:r>
          </w:p>
        </w:tc>
        <w:tc>
          <w:tcPr>
            <w:tcW w:type="dxa" w:w="6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Abilitata per l’invio; SharePoint e coda configurati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API key</w:t>
            </w:r>
          </w:p>
        </w:tc>
        <w:tc>
          <w:tcPr>
            <w:tcW w:type="dxa" w:w="6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Richiesta solo nelle istanze protette; viene salvata localmente dal browser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CAD5E2" w:sz="1"/>
              <w:left w:val="single" w:color="107C10" w:sz="18"/>
              <w:bottom w:val="single" w:color="CAD5E2" w:sz="1"/>
              <w:right w:val="single" w:color="CAD5E2" w:sz="1"/>
            </w:tcBorders>
            <w:shd w:fill="F5F9F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keepNext w:val="false"/>
              <w:spacing w:before="0" w:after="50" w:line="3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7C10"/>
                <w:sz w:val="21"/>
                <w:szCs w:val="21"/>
              </w:rPr>
              <w:t xml:space="preserve">Sicurezza</w:t>
            </w:r>
          </w:p>
          <w:p>
            <w:pPr>
              <w:keepNext w:val="false"/>
              <w:spacing w:before="0" w:after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La pagina Configurazione mostra solo presenza, host e nomi tecnici. Non visualizza password, API key, connection string o token.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4. Avvio rapido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Aprire Opportunità e scegliere un tema in stato Crea ora o Preparati.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Aprire Carica e selezionare Vettoriale oppure Immagine.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Trascinare i file o usare il selettore.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Attendere lo stato Pronta; per i vettori verificare anteprima e soglia.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Rivedere titolo, keyword, categoria e punteggio SEO.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Scaricare CSV/Bundle oppure premere Invia alla pipeline.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Seguire il job in Monitoraggio e il file in Pipeline.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Verificare lo stato Pubblicata e i metadati da pipeline.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5. Navigazione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Scheda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Quando usarla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Carica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Crea un job, elabora immagini, rivede metadati, scarica file e invia alla pipeline.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Monitoraggio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Mostra job, avanzamento, step, errori, retry, export e ri-invio.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Mostra funnel SharePoint, code, immagini inviate e ricerca puntuale del file.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Opportunità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Suggerisce temi, trend, previsioni e stagionalità con prompt pronti.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Sistema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Mostra salute backend, persistenza, vettorializzatore, pipeline e KPI.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Configurazione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Riepiloga valori attivi e alternative supportate senza esporre segreti.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Guida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Spiega funzionamento, parti deterministiche, misurate e generative.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6. Pianificare cosa creare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6.1 Cosa creare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È la vista principale delle opportunità. Ordina i temi per domanda, stagionalità, distanza dal picco e segnali correnti. Se il motore agentico è attivo, l’agente sceglie temi dinamici; altrimenti viene usato il catalogo deterministico.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Crea ora: tema nella finestra ideale o sostenuto da un segnale attuale.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Preparati: il picco si avvicina; è il momento di produrre.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In calendario: fuori stagione, ma pianificabile.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Sempreverde: tema con domanda distribuita durante l’anno.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6.2 Trend attuali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Usa il feed Google Trends del paese selezionato. Il sistema ricava un tema stock generico dalla notizia collegata e misura la traiettoria di quel tema su Wikipedia, evitando di suggerire nomi protetti.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6.3 Previsti e stagionali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Previsti dalle notizie usa Google News per eventi futuri; Stagionali usa ricorrenze note e finestra di pubblicazione. I link Adobe/Freepik permettono di controllare manualmente la saturazione.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6.4 Valutare un’idea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Scrivere il tema nel campo Hai un’idea? per ottenere verdetto, tema generico, soggetti concreti e prompt. Usabile, Da adattare e Non usabile sono indicazioni operative, non pareri legali.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7. Caricare ed elaborare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7.1 Modalità vettoriale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Adatta a silhouette e grafica da distribuire come vettore. Il motore open source applica soglia B/N e potrace; Illustrator può replicare l’Action registrata.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Auto: soglia Otsu calcolata dall’immagine.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Soglia manuale: valore 0–255; usare Rigenera per confrontare l’anteprima.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Output: SVG, EPS e JPG; AI se configurato Illustrator.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7.2 Modalità immagine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Adatta a fotografie e grafiche finite. Non effettua il ricalco; produce un JPEG normalizzato e mantiene lo stesso flusso di metadati, CSV e pipeline.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7.3 Elaborazione multipla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Ogni caricamento crea un job. Non avviare un secondo caricamento finché quello corrente è in elaborazione. Per più immagini, le keyword possono essere aggiunte o rimosse in blocco.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8. Metadati e controllo qualità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Ogni item riceve titolo, descrizione, keyword e categoria. Il badge provvisori indica valori locali; il badge da pipeline indica valori generati dalla Logic App e ritornati tramite callback.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6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Effetto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Errore</w:t>
            </w:r>
          </w:p>
        </w:tc>
        <w:tc>
          <w:tcPr>
            <w:tcW w:type="dxa" w:w="6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Blocca l’invio: campi mancanti, limiti superati, marchi noti.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Avviso</w:t>
            </w:r>
          </w:p>
        </w:tc>
        <w:tc>
          <w:tcPr>
            <w:tcW w:type="dxa" w:w="6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Non blocca, ma segnala titolo corto, poche keyword, duplicati o ripetizioni.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Punteggio</w:t>
            </w:r>
          </w:p>
        </w:tc>
        <w:tc>
          <w:tcPr>
            <w:tcW w:type="dxa" w:w="68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Valutazione 0–100 per Adobe Stock e Freepik.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CAD5E2" w:sz="1"/>
              <w:left w:val="single" w:color="D83B01" w:sz="18"/>
              <w:bottom w:val="single" w:color="CAD5E2" w:sz="1"/>
              <w:right w:val="single" w:color="CAD5E2" w:sz="1"/>
            </w:tcBorders>
            <w:shd w:fill="F5F9FC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keepNext w:val="false"/>
              <w:spacing w:before="0" w:after="50" w:line="3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3B01"/>
                <w:sz w:val="21"/>
                <w:szCs w:val="21"/>
              </w:rPr>
              <w:t xml:space="preserve">Revisione umana</w:t>
            </w:r>
          </w:p>
          <w:p>
            <w:pPr>
              <w:keepNext w:val="false"/>
              <w:spacing w:before="0" w:after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Titolo, descrizione, keyword e verdetti AI vanno riletti. Le regole SEO verificano forma e limiti, non la verità semantica rispetto all’immagine.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9. Esportare o inviare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9.1 Esportazione manuale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CSV Adobe Stock: filename, title, keywords, category e releases.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CSV Freepik: filename, title e keywords.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Bundle ZIP: file disponibili più entrambi i CSV.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Download singoli: SVG, EPS, JPG e AI quando presenti.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9.2 Invio alla pipeline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Il pulsante Invia alla pipeline apre una conferma. Gli item con errori bloccanti non vengono inviati. I file sono depositati sotto ImagesToClassify e, se configurata, viene usata la coda image-to-classify.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10. Monitorare la lavorazione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10.1 Monitoraggio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Mostra i job recenti e lo step tracker Caricata → Vettorializzata → Metadati → Inviata → Pubblicata. Da qui si possono ritentare errori, ri-esportare, ri-inviare o eliminare un job.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72B4D"/>
          <w:sz w:val="27"/>
          <w:szCs w:val="27"/>
        </w:rPr>
        <w:t xml:space="preserve">10.2 Pipeline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Mostra le immagini inviate, il funnel SharePoint e le profondità delle code. Dove si trova? esegue una ricerca puntuale nelle tre librerie.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Stadio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Significato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ImagesToClassify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File depositato; in attesa della classificazione AI.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ImagesToSend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Metadati prodotti; in attesa dell’upload finale.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ImagesSent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File elaborato e archiviato dopo la pubblicazione.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Published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Callback ricevuta dal backend con esito positivo.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Publish failed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Callback ricevuta con errore di invio.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11. Sistema e configurazione</w:t>
      </w:r>
    </w:p>
    <w:p>
      <w:pPr>
        <w:keepNext w:val="false"/>
        <w:spacing w:before="0"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Sistema mostra salute e KPI. Configurazione mostra i valori effettivamente caricati e le alternative supportate. La pagina è informativa: le modifiche si applicano a User Secrets, variabili ambiente o Key Vault e richiedono il riavvio del backend.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Backend e Azure Table devono risultare disponibili.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Pipeline attiva indica che il dispatch è consentito.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Callback protetta indica che Function e dashboard condividono X-Callback-Secret.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B4D"/>
          <w:sz w:val="21"/>
          <w:szCs w:val="21"/>
        </w:rPr>
        <w:t xml:space="preserve">Provider AI stub significa: niente AI locale, metadati definitivi ancora prodotti dalla Logic App.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12. Risoluzione problemi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Sintomo</w:t>
            </w:r>
          </w:p>
        </w:tc>
        <w:tc>
          <w:tcPr>
            <w:tcW w:type="dxa" w:w="6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Azione consigliata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Il sito non si apre</w:t>
            </w:r>
          </w:p>
        </w:tc>
        <w:tc>
          <w:tcPr>
            <w:tcW w:type="dxa" w:w="6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Verificare frontend 5173, backend 5080 e Azurite 10000–10002.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Il job resta in coda</w:t>
            </w:r>
          </w:p>
        </w:tc>
        <w:tc>
          <w:tcPr>
            <w:tcW w:type="dxa" w:w="6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Aprire Monitoraggio; verificare backend e JobProcessorService. Il recovery riaccoda i job al riavvio.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Vettore poco leggibile</w:t>
            </w:r>
          </w:p>
        </w:tc>
        <w:tc>
          <w:tcPr>
            <w:tcW w:type="dxa" w:w="6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Regolare la soglia B/N e usare Rigenera; provare auto o Illustrator se disponibile.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Invio bloccato</w:t>
            </w:r>
          </w:p>
        </w:tc>
        <w:tc>
          <w:tcPr>
            <w:tcW w:type="dxa" w:w="6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Correggere gli errori del pannello SEO: titolo/keyword mancanti, marchi o più di 49 keyword.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Pipeline non aggiornata</w:t>
            </w:r>
          </w:p>
        </w:tc>
        <w:tc>
          <w:tcPr>
            <w:tcW w:type="dxa" w:w="6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Controllare Pipeline, profondità code e Verifica SharePoint nella scheda Sistema.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Trend non caricati</w:t>
            </w:r>
          </w:p>
        </w:tc>
        <w:tc>
          <w:tcPr>
            <w:tcW w:type="dxa" w:w="6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Attendere l’indicatore di caricamento; verificare connettività a Google Trends/News e Wikipedia.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Metadati ancora provvisori</w:t>
            </w:r>
          </w:p>
        </w:tc>
        <w:tc>
          <w:tcPr>
            <w:tcW w:type="dxa" w:w="6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Attendere callback della pipeline; usare Dove si trova? per identificare lo stadio SharePoint.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Download non parte</w:t>
            </w:r>
          </w:p>
        </w:tc>
        <w:tc>
          <w:tcPr>
            <w:tcW w:type="dxa" w:w="60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Se l’API è protetta, inserire la chiave richiesta e riprovare; il download usa l’header, non la URL.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i w:val="false"/>
          <w:iCs w:val="false"/>
          <w:color w:val="0078D4"/>
          <w:sz w:val="31"/>
          <w:szCs w:val="31"/>
        </w:rPr>
        <w:t xml:space="preserve">13. Glossario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Termine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shd w:fill="0078D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Definizione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Job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Gruppo di una o più immagini caricate insieme.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Item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Singola immagine all’interno del job.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Dispatch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Consegna dei file al back-office SharePoint e alla coda Azure.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Callback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Notifica autenticata che riporta stato e metadati nel dashboard.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EXIF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Metadati incorporati nel JPEG.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Otsu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Metodo automatico per scegliere la soglia bianco/nero.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potrace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Motore open source che converte bitmap B/N in tracciati vettoriali.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Traiettoria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Rapporto dell’interesse negli ultimi 7 giorni rispetto ai 7 precedenti.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Saturazione</w:t>
            </w:r>
          </w:p>
        </w:tc>
        <w:tc>
          <w:tcPr>
            <w:tcW w:type="dxa" w:w="6500"/>
            <w:tcBorders>
              <w:top w:val="single" w:color="CAD5E2" w:sz="1"/>
              <w:left w:val="single" w:color="CAD5E2" w:sz="1"/>
              <w:bottom w:val="single" w:color="CAD5E2" w:sz="1"/>
              <w:right w:val="single" w:color="CAD5E2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before="0"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B4D"/>
                <w:sz w:val="21"/>
                <w:szCs w:val="21"/>
              </w:rPr>
              <w:t xml:space="preserve">Quantità di contenuti concorrenti sul marketplace; oggi verificata manualmente.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50" w:right="1200" w:bottom="10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B6B82"/>
        <w:sz w:val="17"/>
        <w:szCs w:val="17"/>
      </w:rPr>
      <w:t xml:space="preserve">Versione 1.0  ·  Pagina </w:t>
    </w:r>
    <w:r>
      <w:rPr>
        <w:rFonts w:ascii="Arial" w:cs="Arial" w:eastAsia="Arial" w:hAnsi="Arial"/>
        <w:color w:val="5B6B8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8" w:space="4"/>
      </w:pBdr>
    </w:pPr>
    <w:r>
      <w:rPr>
        <w:rFonts w:ascii="Arial" w:cs="Arial" w:eastAsia="Arial" w:hAnsi="Arial"/>
        <w:b/>
        <w:bCs/>
        <w:i w:val="false"/>
        <w:iCs w:val="false"/>
        <w:color w:val="0078D4"/>
        <w:sz w:val="18"/>
        <w:szCs w:val="18"/>
      </w:rPr>
      <w:t xml:space="preserve">Stock Vector Studio</w:t>
    </w:r>
    <w:r>
      <w:rPr>
        <w:rFonts w:ascii="Arial" w:cs="Arial" w:eastAsia="Arial" w:hAnsi="Arial"/>
        <w:b w:val="false"/>
        <w:bCs w:val="false"/>
        <w:i w:val="false"/>
        <w:iCs w:val="false"/>
        <w:color w:val="5B6B82"/>
        <w:sz w:val="18"/>
        <w:szCs w:val="18"/>
      </w:rPr>
      <w:t xml:space="preserve">  |  Manuale utente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&gt;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-"/>
      <w:lvlJc w:val="left"/>
      <w:pPr>
        <w:ind w:left="2880" w:hanging="360"/>
      </w:pPr>
    </w:lvl>
    <w:lvl w:ilvl="4" w15:tentative="1">
      <w:start w:val="1"/>
      <w:numFmt w:val="bullet"/>
      <w:lvlText w:val="&gt;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-"/>
      <w:lvlJc w:val="left"/>
      <w:pPr>
        <w:ind w:left="5040" w:hanging="360"/>
      </w:pPr>
    </w:lvl>
    <w:lvl w:ilvl="7" w15:tentative="1">
      <w:start w:val="1"/>
      <w:numFmt w:val="bullet"/>
      <w:lvlText w:val="-"/>
      <w:lvlJc w:val="left"/>
      <w:pPr>
        <w:ind w:left="5760" w:hanging="360"/>
      </w:pPr>
    </w:lvl>
    <w:lvl w:ilvl="8" w15:tentative="1">
      <w:start w:val="1"/>
      <w:numFmt w:val="bullet"/>
      <w:lvlText w:val="-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280"/>
      </w:pPr>
    </w:lvl>
    <w:lvl w:ilvl="1" w15:tentative="1">
      <w:start w:val="1"/>
      <w:numFmt w:val="bullet"/>
      <w:lvlText w:val="&gt;"/>
      <w:lvlJc w:val="left"/>
      <w:pPr>
        <w:ind w:left="105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5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4D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60" w:after="140"/>
      <w:outlineLvl w:val="0"/>
    </w:pPr>
    <w:rPr>
      <w:rFonts w:ascii="Arial" w:cs="Arial" w:eastAsia="Arial" w:hAnsi="Arial"/>
      <w:b/>
      <w:bCs/>
      <w:color w:val="0078D4"/>
      <w:sz w:val="31"/>
      <w:szCs w:val="31"/>
    </w:rPr>
  </w:style>
  <w:style w:type="paragraph" w:styleId="Heading2">
    <w:name w:val="Heading 2"/>
    <w:basedOn w:val="Normal"/>
    <w:next w:val="Normal"/>
    <w:qFormat/>
    <w:pPr>
      <w:keepNext/>
      <w:spacing w:before="220" w:after="110"/>
      <w:outlineLvl w:val="1"/>
    </w:pPr>
    <w:rPr>
      <w:rFonts w:ascii="Arial" w:cs="Arial" w:eastAsia="Arial" w:hAnsi="Arial"/>
      <w:b/>
      <w:bCs/>
      <w:color w:val="172B4D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before="170" w:after="90"/>
      <w:outlineLvl w:val="2"/>
    </w:pPr>
    <w:rPr>
      <w:rFonts w:ascii="Arial" w:cs="Arial" w:eastAsia="Arial" w:hAnsi="Arial"/>
      <w:b/>
      <w:bCs/>
      <w:color w:val="315B7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d2db93e6ef013f732614931a45bee863ebdc3f1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 Vector Studio — Manuale utente</dc:title>
  <dc:subject>Stock Vector Studio</dc:subject>
  <dc:creator>GitHub Copilot</dc:creator>
  <cp:keywords>Stock Vector Studio, Adobe Stock, Freepik, Azure, SharePoint, vettorializzazione</cp:keywords>
  <dc:description>Stock Vector Studio — Manuale utente</dc:description>
  <cp:lastModifiedBy>GitHub Copilot</cp:lastModifiedBy>
  <cp:revision>1</cp:revision>
  <dcterms:created xsi:type="dcterms:W3CDTF">2026-08-06T08:13:12.863Z</dcterms:created>
  <dcterms:modified xsi:type="dcterms:W3CDTF">2026-08-06T08:13:12.863Z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