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 xml:space="preserve">Essa permette l’elaborazione del testo, attraverso un singolo metodo statico, estraendo le singole parole ed utilizzando un dizionario in cui ogni vocabolo ha un peso associato ad un’emozione. I risultati di ogni parola vengono poi raggruppati e trasformati in percentuale. </w:t>
      </w:r>
      <w:r>
        <w:rPr/>
        <w:t xml:space="preserve">Nello stesso modo, vengono valutate anche le emoticon presenti nel testo. </w:t>
      </w:r>
      <w:r>
        <w:rPr/>
        <w:t>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7338695"/>
            <wp:effectExtent l="0" t="0" r="0" b="0"/>
            <wp:wrapTopAndBottom/>
            <wp:docPr id="5"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9" descr=""/>
                    <pic:cNvPicPr>
                      <a:picLocks noChangeAspect="1" noChangeArrowheads="1"/>
                    </pic:cNvPicPr>
                  </pic:nvPicPr>
                  <pic:blipFill>
                    <a:blip r:embed="rId6"/>
                    <a:stretch>
                      <a:fillRect/>
                    </a:stretch>
                  </pic:blipFill>
                  <pic:spPr bwMode="auto">
                    <a:xfrm>
                      <a:off x="0" y="0"/>
                      <a:ext cx="6120130" cy="7338695"/>
                    </a:xfrm>
                    <a:prstGeom prst="rect">
                      <a:avLst/>
                    </a:prstGeom>
                  </pic:spPr>
                </pic:pic>
              </a:graphicData>
            </a:graphic>
          </wp:anchor>
        </w:drawing>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È stato costruito poi un applicativo che ci ha permesso di contare il numero di Tweet totali e il numero di Tweet in lingua inglese contenuti nel dataset.</w:t>
      </w:r>
    </w:p>
    <w:p>
      <w:pPr>
        <w:pStyle w:val="Normal"/>
        <w:rPr>
          <w:i w:val="false"/>
          <w:i w:val="false"/>
          <w:iCs w:val="false"/>
        </w:rPr>
      </w:pPr>
      <w:r>
        <w:rPr>
          <w:i w:val="false"/>
          <w:iCs w:val="false"/>
        </w:rPr>
        <w:t>Il risultato ottenuto è il seguente:</w:t>
      </w:r>
    </w:p>
    <w:p>
      <w:pPr>
        <w:pStyle w:val="Normal"/>
        <w:numPr>
          <w:ilvl w:val="0"/>
          <w:numId w:val="9"/>
        </w:numPr>
        <w:rPr/>
      </w:pPr>
      <w:r>
        <w:rPr>
          <w:i w:val="false"/>
          <w:iCs w:val="false"/>
        </w:rPr>
        <w:t xml:space="preserve">Tweet totali: </w:t>
      </w:r>
      <w:r>
        <w:rPr>
          <w:rFonts w:eastAsia="Calibri" w:cs="" w:cstheme="minorBidi" w:eastAsiaTheme="minorHAnsi"/>
          <w:b w:val="false"/>
          <w:i w:val="false"/>
          <w:iCs w:val="false"/>
          <w:color w:val="auto"/>
          <w:kern w:val="0"/>
          <w:sz w:val="24"/>
          <w:szCs w:val="24"/>
          <w:lang w:val="it-IT" w:eastAsia="en-US" w:bidi="ar-SA"/>
        </w:rPr>
        <w:t>157.158.045</w:t>
      </w:r>
    </w:p>
    <w:p>
      <w:pPr>
        <w:pStyle w:val="Normal"/>
        <w:numPr>
          <w:ilvl w:val="0"/>
          <w:numId w:val="9"/>
        </w:numPr>
        <w:rPr>
          <w:rFonts w:ascii="Calibri" w:hAnsi="Calibri" w:eastAsia="Calibri" w:cs="" w:asciiTheme="minorHAnsi" w:cstheme="minorBidi" w:eastAsiaTheme="minorHAnsi" w:hAnsiTheme="minorHAnsi"/>
          <w:b w:val="false"/>
          <w:b w:val="false"/>
          <w:i w:val="false"/>
          <w:i w:val="false"/>
          <w:iCs w:val="false"/>
          <w:color w:val="auto"/>
          <w:kern w:val="0"/>
          <w:sz w:val="24"/>
          <w:szCs w:val="24"/>
          <w:lang w:val="it-IT" w:eastAsia="en-US" w:bidi="ar-SA"/>
        </w:rPr>
      </w:pPr>
      <w:r>
        <w:rPr>
          <w:rFonts w:eastAsia="Calibri" w:cs="" w:cstheme="minorBidi" w:eastAsiaTheme="minorHAnsi"/>
          <w:b w:val="false"/>
          <w:i w:val="false"/>
          <w:iCs w:val="false"/>
          <w:color w:val="auto"/>
          <w:kern w:val="0"/>
          <w:sz w:val="24"/>
          <w:szCs w:val="24"/>
          <w:lang w:val="it-IT" w:eastAsia="en-US" w:bidi="ar-SA"/>
        </w:rPr>
        <w:t>Tweet lingua inglese: 44.015.065</w:t>
      </w:r>
    </w:p>
    <w:p>
      <w:pPr>
        <w:pStyle w:val="Normal"/>
        <w:numPr>
          <w:ilvl w:val="0"/>
          <w:numId w:val="9"/>
        </w:numPr>
        <w:rPr/>
      </w:pPr>
      <w:r>
        <w:rPr>
          <w:rFonts w:eastAsia="Calibri" w:cs="" w:cstheme="minorBidi" w:eastAsiaTheme="minorHAnsi"/>
          <w:b w:val="false"/>
          <w:i w:val="false"/>
          <w:iCs w:val="false"/>
          <w:color w:val="auto"/>
          <w:kern w:val="0"/>
          <w:sz w:val="24"/>
          <w:szCs w:val="24"/>
          <w:lang w:val="it-IT" w:eastAsia="en-US" w:bidi="ar-SA"/>
        </w:rPr>
        <w:t>Tweet altre lingue: 113.142.980</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0"/>
            <wp:effectExtent l="0" t="0" r="0" b="0"/>
            <wp:wrapTopAndBottom/>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6120130" cy="4229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966335"/>
            <wp:effectExtent l="0" t="0" r="0" b="0"/>
            <wp:wrapTopAndBottom/>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6120130" cy="4966335"/>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89655"/>
            <wp:effectExtent l="0" t="0" r="0" b="0"/>
            <wp:wrapTopAndBottom/>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in maniera trasparente all’utente. Il dataset viene poi filtrato in modo da selezionare solo i testi in lingua inglese.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816100"/>
            <wp:effectExtent l="0" t="0" r="0" b="0"/>
            <wp:wrapTopAndBottom/>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6120130" cy="1816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Sequenziale 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13h 24m 19s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Thread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Il programma è stato valutato utilizzando sia 4 che 8 thread per ogni tipo di organizzazione del dataset.</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6h 38m</w:t>
            </w:r>
          </w:p>
        </w:tc>
      </w:tr>
      <w:tr>
        <w:trPr/>
        <w:tc>
          <w:tcPr>
            <w:tcW w:w="3212" w:type="dxa"/>
            <w:tcBorders>
              <w:left w:val="single" w:sz="2" w:space="0" w:color="000000"/>
              <w:bottom w:val="single" w:sz="2" w:space="0" w:color="000000"/>
            </w:tcBorders>
          </w:tcPr>
          <w:p>
            <w:pPr>
              <w:pStyle w:val="Contenutotabella"/>
              <w:rPr/>
            </w:pPr>
            <w:r>
              <w:rPr/>
              <w:t>64Mb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Normal"/>
              <w:rPr/>
            </w:pPr>
            <w:r>
              <w:rPr/>
              <w:t>6h 22m 18s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Come è possibile notare dalle tabelle utilizzando la versione del programma multi-thread si ha un notevole vantaggio in termini di tempo, in quanto si riescono a dimezzare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Per tutte le esecuzioni, c’è stato un forte consumo di CPU, soprattutto nel multi-thread, dove tutti i core avevano un carico che variava tra il 95% e il 100%. Per quanto riguarda la memoria RAM, non abbiamo notato nessun utilizzo anomalo.</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399</TotalTime>
  <Application>LibreOffice/6.4.5.2$Linux_X86_64 LibreOffice_project/40$Build-2</Application>
  <Pages>15</Pages>
  <Words>2618</Words>
  <Characters>13923</Characters>
  <CharactersWithSpaces>16386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2020-09-30T19:35:40Z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