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99984" w14:textId="77777777" w:rsidR="005521DF" w:rsidRDefault="005521DF" w:rsidP="005521DF">
      <w:pPr>
        <w:pStyle w:val="Title"/>
      </w:pPr>
      <w:r>
        <w:t>SolarWinds Disaster Recovery Overview</w:t>
      </w:r>
    </w:p>
    <w:p w14:paraId="0529C11F" w14:textId="77777777" w:rsidR="005521DF" w:rsidRDefault="005521DF" w:rsidP="005521DF">
      <w:pPr>
        <w:pStyle w:val="Subtitle"/>
      </w:pPr>
      <w:r>
        <w:t>Promotion of DR Polling Infrastructure to Primary Role</w:t>
      </w:r>
    </w:p>
    <w:p w14:paraId="13F77287" w14:textId="77777777" w:rsidR="005521DF" w:rsidRDefault="005521DF" w:rsidP="005521DF">
      <w:pPr>
        <w:pStyle w:val="Heading1"/>
      </w:pPr>
      <w:r>
        <w:t>Executive Summary</w:t>
      </w:r>
    </w:p>
    <w:p w14:paraId="585CAD17" w14:textId="77777777" w:rsidR="005521DF" w:rsidRDefault="005521DF" w:rsidP="005521DF">
      <w:r w:rsidRPr="005521DF">
        <w:t>In the event of a failure at the Primary Data Centre, SolarWinds monitoring services are swiftly restored by promoting an existing Disaster Recovery (DR) polling engine to act as the Primary Monitoring Engine. This enables monitoring, alerting, and reporting services to resume, utilising the existing SolarWinds database infrastructure hosted in the DR environment. This approach takes advantage of currently licensed polling infrastructure and ensures continuity of service without the need for additional permanent servers.</w:t>
      </w:r>
    </w:p>
    <w:p w14:paraId="5B4CDE91" w14:textId="77777777" w:rsidR="005521DF" w:rsidRDefault="005521DF" w:rsidP="005521DF">
      <w:pPr>
        <w:pStyle w:val="Heading1"/>
      </w:pPr>
      <w:r>
        <w:t>Current Architecture Overview</w:t>
      </w:r>
    </w:p>
    <w:p w14:paraId="1E25544B" w14:textId="77777777" w:rsidR="005521DF" w:rsidRDefault="005521DF" w:rsidP="005521DF">
      <w:pPr>
        <w:pStyle w:val="ListParagraph"/>
        <w:numPr>
          <w:ilvl w:val="0"/>
          <w:numId w:val="1"/>
        </w:numPr>
      </w:pPr>
      <w:r w:rsidRPr="005521DF">
        <w:t>SolarWinds platform is deployed across two data centres: Primary and DR.</w:t>
      </w:r>
    </w:p>
    <w:p w14:paraId="2B0E1467" w14:textId="77777777" w:rsidR="005521DF" w:rsidRDefault="005521DF" w:rsidP="005521DF">
      <w:pPr>
        <w:pStyle w:val="ListParagraph"/>
        <w:numPr>
          <w:ilvl w:val="0"/>
          <w:numId w:val="1"/>
        </w:numPr>
      </w:pPr>
      <w:r w:rsidRPr="005521DF">
        <w:t>The SolarWinds database is protected using SQL Always On, ensuring data availability in DR.</w:t>
      </w:r>
    </w:p>
    <w:p w14:paraId="17AE06CB" w14:textId="77777777" w:rsidR="005521DF" w:rsidRDefault="005521DF" w:rsidP="005521DF">
      <w:pPr>
        <w:pStyle w:val="ListParagraph"/>
        <w:numPr>
          <w:ilvl w:val="0"/>
          <w:numId w:val="1"/>
        </w:numPr>
      </w:pPr>
      <w:r w:rsidRPr="005521DF">
        <w:t>Two active SolarWinds polling engines operate in the DR data centre, continuously monitoring DR-based systems.</w:t>
      </w:r>
    </w:p>
    <w:p w14:paraId="50073DAC" w14:textId="77777777" w:rsidR="005521DF" w:rsidRDefault="005521DF" w:rsidP="005521DF">
      <w:pPr>
        <w:pStyle w:val="ListParagraph"/>
        <w:numPr>
          <w:ilvl w:val="0"/>
          <w:numId w:val="1"/>
        </w:numPr>
      </w:pPr>
      <w:r w:rsidRPr="005521DF">
        <w:t>The Primary Monitoring Engine normally operates in the Primary Data Centre.</w:t>
      </w:r>
    </w:p>
    <w:p w14:paraId="052C11A9" w14:textId="77777777" w:rsidR="005521DF" w:rsidRDefault="005521DF" w:rsidP="005521DF">
      <w:pPr>
        <w:pStyle w:val="Heading1"/>
      </w:pPr>
      <w:r>
        <w:t>DR Strategy Overview</w:t>
      </w:r>
    </w:p>
    <w:p w14:paraId="22510D08" w14:textId="77777777" w:rsidR="005521DF" w:rsidRDefault="005521DF" w:rsidP="005521DF">
      <w:r w:rsidRPr="005521DF">
        <w:t>When the Primary Data Centre is unavailable:</w:t>
      </w:r>
    </w:p>
    <w:p w14:paraId="5147E2EB" w14:textId="77777777" w:rsidR="005521DF" w:rsidRDefault="005521DF" w:rsidP="005521DF">
      <w:pPr>
        <w:pStyle w:val="ListParagraph"/>
        <w:numPr>
          <w:ilvl w:val="0"/>
          <w:numId w:val="2"/>
        </w:numPr>
      </w:pPr>
      <w:r w:rsidRPr="005521DF">
        <w:t>One existing DR polling engine is promoted to the Primary Monitoring role.</w:t>
      </w:r>
    </w:p>
    <w:p w14:paraId="7798874D" w14:textId="77777777" w:rsidR="005521DF" w:rsidRDefault="005521DF" w:rsidP="005521DF">
      <w:pPr>
        <w:pStyle w:val="ListParagraph"/>
        <w:numPr>
          <w:ilvl w:val="0"/>
          <w:numId w:val="2"/>
        </w:numPr>
      </w:pPr>
      <w:r w:rsidRPr="005521DF">
        <w:t xml:space="preserve">The other DR polling engine continues operating as a supporting </w:t>
      </w:r>
      <w:proofErr w:type="spellStart"/>
      <w:r w:rsidRPr="005521DF">
        <w:t>poller</w:t>
      </w:r>
      <w:proofErr w:type="spellEnd"/>
      <w:r w:rsidRPr="005521DF">
        <w:t>.</w:t>
      </w:r>
    </w:p>
    <w:p w14:paraId="5A87D16E" w14:textId="77777777" w:rsidR="005521DF" w:rsidRDefault="005521DF" w:rsidP="005521DF">
      <w:pPr>
        <w:pStyle w:val="ListParagraph"/>
        <w:numPr>
          <w:ilvl w:val="0"/>
          <w:numId w:val="2"/>
        </w:numPr>
      </w:pPr>
      <w:r w:rsidRPr="005521DF">
        <w:t>The SolarWinds database remains available via SQL Always On.</w:t>
      </w:r>
    </w:p>
    <w:p w14:paraId="4AEDD682" w14:textId="77777777" w:rsidR="005521DF" w:rsidRDefault="005521DF" w:rsidP="005521DF">
      <w:pPr>
        <w:pStyle w:val="ListParagraph"/>
        <w:numPr>
          <w:ilvl w:val="0"/>
          <w:numId w:val="2"/>
        </w:numPr>
      </w:pPr>
      <w:r w:rsidRPr="005521DF">
        <w:t>Monitoring, alerting, and reporting services are restored from DR.</w:t>
      </w:r>
    </w:p>
    <w:p w14:paraId="05D80CC2" w14:textId="77777777" w:rsidR="005521DF" w:rsidRDefault="005521DF" w:rsidP="005521DF">
      <w:pPr>
        <w:pStyle w:val="ListParagraph"/>
        <w:numPr>
          <w:ilvl w:val="0"/>
          <w:numId w:val="2"/>
        </w:numPr>
      </w:pPr>
      <w:r w:rsidRPr="005521DF">
        <w:t>This process restores full SolarWinds platform functionality within the DR environment.</w:t>
      </w:r>
    </w:p>
    <w:p w14:paraId="50CDC46D" w14:textId="77777777" w:rsidR="005521DF" w:rsidRDefault="005521DF" w:rsidP="005521DF">
      <w:pPr>
        <w:pStyle w:val="Heading1"/>
      </w:pPr>
      <w:r>
        <w:t>What “Promotion” Means in Practice</w:t>
      </w:r>
    </w:p>
    <w:p w14:paraId="76C7546C" w14:textId="77777777" w:rsidR="005521DF" w:rsidRDefault="005521DF" w:rsidP="005521DF">
      <w:pPr>
        <w:pStyle w:val="ListParagraph"/>
        <w:numPr>
          <w:ilvl w:val="0"/>
          <w:numId w:val="3"/>
        </w:numPr>
      </w:pPr>
      <w:r w:rsidRPr="005521DF">
        <w:t>Enabling primary monitoring and orchestration services on an existing polling server.</w:t>
      </w:r>
    </w:p>
    <w:p w14:paraId="36E4DD00" w14:textId="77777777" w:rsidR="005521DF" w:rsidRDefault="005521DF" w:rsidP="005521DF">
      <w:pPr>
        <w:pStyle w:val="ListParagraph"/>
        <w:numPr>
          <w:ilvl w:val="0"/>
          <w:numId w:val="3"/>
        </w:numPr>
      </w:pPr>
      <w:r w:rsidRPr="005521DF">
        <w:t>Assigning responsibility for alerting, reporting, and job coordination.</w:t>
      </w:r>
    </w:p>
    <w:p w14:paraId="58E3F415" w14:textId="77777777" w:rsidR="005521DF" w:rsidRDefault="005521DF" w:rsidP="005521DF">
      <w:pPr>
        <w:pStyle w:val="ListParagraph"/>
        <w:numPr>
          <w:ilvl w:val="0"/>
          <w:numId w:val="3"/>
        </w:numPr>
      </w:pPr>
      <w:r w:rsidRPr="005521DF">
        <w:t>Re-establishing the SolarWinds user interface and management services.</w:t>
      </w:r>
    </w:p>
    <w:p w14:paraId="4E53726E" w14:textId="77777777" w:rsidR="005521DF" w:rsidRDefault="005521DF" w:rsidP="005521DF">
      <w:pPr>
        <w:pStyle w:val="ListParagraph"/>
        <w:numPr>
          <w:ilvl w:val="0"/>
          <w:numId w:val="3"/>
        </w:numPr>
      </w:pPr>
      <w:r w:rsidRPr="005521DF">
        <w:t>Re-integrating remaining polling engines under central coordination.</w:t>
      </w:r>
    </w:p>
    <w:p w14:paraId="213EE0B8" w14:textId="77777777" w:rsidR="005521DF" w:rsidRDefault="005521DF" w:rsidP="005521DF">
      <w:pPr>
        <w:pStyle w:val="ListParagraph"/>
        <w:numPr>
          <w:ilvl w:val="0"/>
          <w:numId w:val="3"/>
        </w:numPr>
      </w:pPr>
      <w:r w:rsidRPr="005521DF">
        <w:lastRenderedPageBreak/>
        <w:t>No monitoring data is lost, and existing configurations, alerts, and historical information remain intact.</w:t>
      </w:r>
    </w:p>
    <w:p w14:paraId="535A4DF4" w14:textId="77777777" w:rsidR="005521DF" w:rsidRDefault="005521DF" w:rsidP="005521DF">
      <w:pPr>
        <w:pStyle w:val="Heading1"/>
      </w:pPr>
      <w:r>
        <w:t>Why This Approach Is Used</w:t>
      </w:r>
    </w:p>
    <w:p w14:paraId="7D92BE9D" w14:textId="77777777" w:rsidR="005521DF" w:rsidRDefault="005521DF" w:rsidP="005521DF">
      <w:pPr>
        <w:pStyle w:val="ListParagraph"/>
        <w:numPr>
          <w:ilvl w:val="0"/>
          <w:numId w:val="4"/>
        </w:numPr>
      </w:pPr>
      <w:r w:rsidRPr="005521DF">
        <w:t>Avoids maintaining idle standby infrastructure.</w:t>
      </w:r>
    </w:p>
    <w:p w14:paraId="54D01595" w14:textId="77777777" w:rsidR="005521DF" w:rsidRDefault="005521DF" w:rsidP="005521DF">
      <w:pPr>
        <w:pStyle w:val="ListParagraph"/>
        <w:numPr>
          <w:ilvl w:val="0"/>
          <w:numId w:val="4"/>
        </w:numPr>
      </w:pPr>
      <w:r w:rsidRPr="005521DF">
        <w:t>Uses existing licensed polling capacity.</w:t>
      </w:r>
    </w:p>
    <w:p w14:paraId="4B3D05C7" w14:textId="77777777" w:rsidR="005521DF" w:rsidRDefault="005521DF" w:rsidP="005521DF">
      <w:pPr>
        <w:pStyle w:val="ListParagraph"/>
        <w:numPr>
          <w:ilvl w:val="0"/>
          <w:numId w:val="4"/>
        </w:numPr>
      </w:pPr>
      <w:r w:rsidRPr="005521DF">
        <w:t>Minimises DR cost while maintaining recoverability.</w:t>
      </w:r>
    </w:p>
    <w:p w14:paraId="299AF527" w14:textId="77777777" w:rsidR="005521DF" w:rsidRDefault="005521DF" w:rsidP="005521DF">
      <w:pPr>
        <w:pStyle w:val="ListParagraph"/>
        <w:numPr>
          <w:ilvl w:val="0"/>
          <w:numId w:val="4"/>
        </w:numPr>
      </w:pPr>
      <w:r w:rsidRPr="005521DF">
        <w:t>Aligns with SolarWinds supported recovery models.</w:t>
      </w:r>
    </w:p>
    <w:p w14:paraId="5FFCAA3F" w14:textId="77777777" w:rsidR="005521DF" w:rsidRDefault="005521DF" w:rsidP="005521DF">
      <w:pPr>
        <w:pStyle w:val="Heading1"/>
      </w:pPr>
      <w:r>
        <w:t>Recovery Characteristics</w:t>
      </w:r>
    </w:p>
    <w:tbl>
      <w:tblPr>
        <w:tblStyle w:val="PlainTable1"/>
        <w:tblW w:w="0" w:type="auto"/>
        <w:tblLook w:val="0420" w:firstRow="1" w:lastRow="0" w:firstColumn="0" w:lastColumn="0" w:noHBand="0" w:noVBand="1"/>
      </w:tblPr>
      <w:tblGrid>
        <w:gridCol w:w="4508"/>
        <w:gridCol w:w="4508"/>
      </w:tblGrid>
      <w:tr w:rsidR="005521DF" w:rsidRPr="005521DF" w14:paraId="1B0678DF" w14:textId="77777777" w:rsidTr="005521DF">
        <w:trPr>
          <w:cnfStyle w:val="100000000000" w:firstRow="1" w:lastRow="0" w:firstColumn="0" w:lastColumn="0" w:oddVBand="0" w:evenVBand="0" w:oddHBand="0" w:evenHBand="0" w:firstRowFirstColumn="0" w:firstRowLastColumn="0" w:lastRowFirstColumn="0" w:lastRowLastColumn="0"/>
        </w:trPr>
        <w:tc>
          <w:tcPr>
            <w:tcW w:w="4508" w:type="dxa"/>
          </w:tcPr>
          <w:p w14:paraId="5EC68B72" w14:textId="6257D06A" w:rsidR="005521DF" w:rsidRPr="005521DF" w:rsidRDefault="005521DF" w:rsidP="005521DF">
            <w:r>
              <w:t>Area</w:t>
            </w:r>
          </w:p>
        </w:tc>
        <w:tc>
          <w:tcPr>
            <w:tcW w:w="4508" w:type="dxa"/>
          </w:tcPr>
          <w:p w14:paraId="01E07573" w14:textId="5DE35556" w:rsidR="005521DF" w:rsidRPr="005521DF" w:rsidRDefault="005521DF" w:rsidP="005521DF">
            <w:r>
              <w:t>Outcome</w:t>
            </w:r>
          </w:p>
        </w:tc>
      </w:tr>
      <w:tr w:rsidR="005521DF" w:rsidRPr="005521DF" w14:paraId="5AA96D0D" w14:textId="77777777" w:rsidTr="005521DF">
        <w:trPr>
          <w:cnfStyle w:val="000000100000" w:firstRow="0" w:lastRow="0" w:firstColumn="0" w:lastColumn="0" w:oddVBand="0" w:evenVBand="0" w:oddHBand="1" w:evenHBand="0" w:firstRowFirstColumn="0" w:firstRowLastColumn="0" w:lastRowFirstColumn="0" w:lastRowLastColumn="0"/>
        </w:trPr>
        <w:tc>
          <w:tcPr>
            <w:tcW w:w="4508" w:type="dxa"/>
          </w:tcPr>
          <w:p w14:paraId="49034C5B" w14:textId="30C96E68" w:rsidR="005521DF" w:rsidRDefault="005521DF" w:rsidP="005521DF">
            <w:r>
              <w:t>Monitoring data</w:t>
            </w:r>
          </w:p>
        </w:tc>
        <w:tc>
          <w:tcPr>
            <w:tcW w:w="4508" w:type="dxa"/>
          </w:tcPr>
          <w:p w14:paraId="1E952497" w14:textId="3A9D47B9" w:rsidR="005521DF" w:rsidRDefault="005521DF" w:rsidP="005521DF">
            <w:r>
              <w:t>Preserved</w:t>
            </w:r>
          </w:p>
        </w:tc>
      </w:tr>
      <w:tr w:rsidR="005521DF" w:rsidRPr="005521DF" w14:paraId="21EE3469" w14:textId="77777777" w:rsidTr="005521DF">
        <w:tc>
          <w:tcPr>
            <w:tcW w:w="4508" w:type="dxa"/>
          </w:tcPr>
          <w:p w14:paraId="0ED1F596" w14:textId="4A5D6AC6" w:rsidR="005521DF" w:rsidRDefault="005521DF" w:rsidP="005521DF">
            <w:r>
              <w:t>Alerts &amp; reports</w:t>
            </w:r>
          </w:p>
        </w:tc>
        <w:tc>
          <w:tcPr>
            <w:tcW w:w="4508" w:type="dxa"/>
          </w:tcPr>
          <w:p w14:paraId="27C73FFA" w14:textId="7CD60478" w:rsidR="005521DF" w:rsidRDefault="005521DF" w:rsidP="005521DF">
            <w:r>
              <w:t>Restored</w:t>
            </w:r>
          </w:p>
        </w:tc>
      </w:tr>
      <w:tr w:rsidR="005521DF" w:rsidRPr="005521DF" w14:paraId="005FE827" w14:textId="77777777" w:rsidTr="005521DF">
        <w:trPr>
          <w:cnfStyle w:val="000000100000" w:firstRow="0" w:lastRow="0" w:firstColumn="0" w:lastColumn="0" w:oddVBand="0" w:evenVBand="0" w:oddHBand="1" w:evenHBand="0" w:firstRowFirstColumn="0" w:firstRowLastColumn="0" w:lastRowFirstColumn="0" w:lastRowLastColumn="0"/>
        </w:trPr>
        <w:tc>
          <w:tcPr>
            <w:tcW w:w="4508" w:type="dxa"/>
          </w:tcPr>
          <w:p w14:paraId="18BB0341" w14:textId="7A59CAA6" w:rsidR="005521DF" w:rsidRDefault="005521DF" w:rsidP="005521DF">
            <w:r>
              <w:t>DR polling capacity</w:t>
            </w:r>
          </w:p>
        </w:tc>
        <w:tc>
          <w:tcPr>
            <w:tcW w:w="4508" w:type="dxa"/>
          </w:tcPr>
          <w:p w14:paraId="59788A56" w14:textId="61C04222" w:rsidR="005521DF" w:rsidRDefault="005521DF" w:rsidP="005521DF">
            <w:r>
              <w:t>Maintained</w:t>
            </w:r>
          </w:p>
        </w:tc>
      </w:tr>
      <w:tr w:rsidR="005521DF" w:rsidRPr="005521DF" w14:paraId="0106B36A" w14:textId="77777777" w:rsidTr="005521DF">
        <w:tc>
          <w:tcPr>
            <w:tcW w:w="4508" w:type="dxa"/>
          </w:tcPr>
          <w:p w14:paraId="47241543" w14:textId="791D9C28" w:rsidR="005521DF" w:rsidRDefault="005521DF" w:rsidP="005521DF">
            <w:r>
              <w:t>Manual intervention</w:t>
            </w:r>
          </w:p>
        </w:tc>
        <w:tc>
          <w:tcPr>
            <w:tcW w:w="4508" w:type="dxa"/>
          </w:tcPr>
          <w:p w14:paraId="4E507E36" w14:textId="7FFCA2A4" w:rsidR="005521DF" w:rsidRDefault="005521DF" w:rsidP="005521DF">
            <w:r>
              <w:t>Required</w:t>
            </w:r>
          </w:p>
        </w:tc>
      </w:tr>
      <w:tr w:rsidR="005521DF" w:rsidRPr="005521DF" w14:paraId="4B379F61" w14:textId="77777777" w:rsidTr="005521DF">
        <w:trPr>
          <w:cnfStyle w:val="000000100000" w:firstRow="0" w:lastRow="0" w:firstColumn="0" w:lastColumn="0" w:oddVBand="0" w:evenVBand="0" w:oddHBand="1" w:evenHBand="0" w:firstRowFirstColumn="0" w:firstRowLastColumn="0" w:lastRowFirstColumn="0" w:lastRowLastColumn="0"/>
        </w:trPr>
        <w:tc>
          <w:tcPr>
            <w:tcW w:w="4508" w:type="dxa"/>
          </w:tcPr>
          <w:p w14:paraId="29C3C5E6" w14:textId="2FEA1A9D" w:rsidR="005521DF" w:rsidRDefault="005521DF" w:rsidP="005521DF">
            <w:r>
              <w:t>Recovery time</w:t>
            </w:r>
          </w:p>
        </w:tc>
        <w:tc>
          <w:tcPr>
            <w:tcW w:w="4508" w:type="dxa"/>
          </w:tcPr>
          <w:p w14:paraId="568BC5FF" w14:textId="430BD2B9" w:rsidR="005521DF" w:rsidRDefault="005521DF" w:rsidP="005521DF">
            <w:r>
              <w:t>Dependent on promotion activity</w:t>
            </w:r>
          </w:p>
        </w:tc>
      </w:tr>
    </w:tbl>
    <w:p w14:paraId="485FF089" w14:textId="77777777" w:rsidR="005521DF" w:rsidRDefault="005521DF" w:rsidP="005521DF">
      <w:pPr>
        <w:pStyle w:val="Heading1"/>
      </w:pPr>
      <w:r>
        <w:t>Risks and Controls</w:t>
      </w:r>
    </w:p>
    <w:p w14:paraId="10235000" w14:textId="77777777" w:rsidR="005521DF" w:rsidRDefault="005521DF" w:rsidP="005521DF">
      <w:pPr>
        <w:pStyle w:val="ListParagraph"/>
        <w:numPr>
          <w:ilvl w:val="0"/>
          <w:numId w:val="5"/>
        </w:numPr>
      </w:pPr>
      <w:r w:rsidRPr="005521DF">
        <w:t>Risk: Temporary reduction in polling capacity during promotion</w:t>
      </w:r>
    </w:p>
    <w:p w14:paraId="03AD1D55" w14:textId="77777777" w:rsidR="005521DF" w:rsidRDefault="005521DF" w:rsidP="005521DF">
      <w:pPr>
        <w:pStyle w:val="ListParagraph"/>
        <w:numPr>
          <w:ilvl w:val="0"/>
          <w:numId w:val="5"/>
        </w:numPr>
      </w:pPr>
      <w:r w:rsidRPr="005521DF">
        <w:t>Control: Selection of the least-loaded polling engine</w:t>
      </w:r>
    </w:p>
    <w:p w14:paraId="14A294F3" w14:textId="77777777" w:rsidR="005521DF" w:rsidRDefault="005521DF" w:rsidP="005521DF">
      <w:pPr>
        <w:pStyle w:val="ListParagraph"/>
        <w:numPr>
          <w:ilvl w:val="0"/>
          <w:numId w:val="5"/>
        </w:numPr>
      </w:pPr>
      <w:r w:rsidRPr="005521DF">
        <w:t>Risk: Manual recovery steps</w:t>
      </w:r>
    </w:p>
    <w:p w14:paraId="0AA1DBE3" w14:textId="77777777" w:rsidR="005521DF" w:rsidRDefault="005521DF" w:rsidP="005521DF">
      <w:pPr>
        <w:pStyle w:val="ListParagraph"/>
        <w:numPr>
          <w:ilvl w:val="0"/>
          <w:numId w:val="5"/>
        </w:numPr>
      </w:pPr>
      <w:r w:rsidRPr="005521DF">
        <w:t>Control: Documented and tested recovery procedure</w:t>
      </w:r>
    </w:p>
    <w:p w14:paraId="380D865D" w14:textId="77777777" w:rsidR="005521DF" w:rsidRDefault="005521DF" w:rsidP="005521DF">
      <w:pPr>
        <w:pStyle w:val="Heading1"/>
      </w:pPr>
      <w:r>
        <w:t>Future Enhancements (Optional)</w:t>
      </w:r>
    </w:p>
    <w:p w14:paraId="146BBD38" w14:textId="77777777" w:rsidR="005521DF" w:rsidRDefault="005521DF" w:rsidP="005521DF">
      <w:r w:rsidRPr="005521DF">
        <w:t>If faster or automated recovery is required, options include:</w:t>
      </w:r>
    </w:p>
    <w:p w14:paraId="631368F5" w14:textId="77777777" w:rsidR="005521DF" w:rsidRDefault="005521DF" w:rsidP="005521DF">
      <w:pPr>
        <w:pStyle w:val="ListParagraph"/>
        <w:numPr>
          <w:ilvl w:val="0"/>
          <w:numId w:val="6"/>
        </w:numPr>
      </w:pPr>
      <w:r w:rsidRPr="005521DF">
        <w:t>Introducing High Availability for the Primary Monitoring Engine.</w:t>
      </w:r>
    </w:p>
    <w:p w14:paraId="3463D343" w14:textId="77777777" w:rsidR="005521DF" w:rsidRDefault="005521DF" w:rsidP="005521DF">
      <w:pPr>
        <w:pStyle w:val="ListParagraph"/>
        <w:numPr>
          <w:ilvl w:val="0"/>
          <w:numId w:val="6"/>
        </w:numPr>
      </w:pPr>
      <w:r w:rsidRPr="005521DF">
        <w:t>Pre-staging a standby Primary Engine in DR.</w:t>
      </w:r>
    </w:p>
    <w:p w14:paraId="6BF28D6C" w14:textId="76B90E3B" w:rsidR="005521DF" w:rsidRPr="005521DF" w:rsidRDefault="005521DF" w:rsidP="005521DF">
      <w:pPr>
        <w:pStyle w:val="ListParagraph"/>
        <w:numPr>
          <w:ilvl w:val="0"/>
          <w:numId w:val="6"/>
        </w:numPr>
      </w:pPr>
      <w:r w:rsidRPr="005521DF">
        <w:t>Automating service activation and DNS redirection.</w:t>
      </w:r>
    </w:p>
    <w:p w14:paraId="64E8C49C" w14:textId="367CC732" w:rsidR="005521DF" w:rsidRPr="005521DF" w:rsidRDefault="005521DF" w:rsidP="005521DF"/>
    <w:sectPr w:rsidR="005521DF" w:rsidRPr="005521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B4533"/>
    <w:multiLevelType w:val="hybridMultilevel"/>
    <w:tmpl w:val="E918F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CE14D9A"/>
    <w:multiLevelType w:val="multilevel"/>
    <w:tmpl w:val="818694C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4533715C"/>
    <w:multiLevelType w:val="hybridMultilevel"/>
    <w:tmpl w:val="5120A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E06946"/>
    <w:multiLevelType w:val="hybridMultilevel"/>
    <w:tmpl w:val="DF7C3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09B66E4"/>
    <w:multiLevelType w:val="hybridMultilevel"/>
    <w:tmpl w:val="1B1ED2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D864935"/>
    <w:multiLevelType w:val="hybridMultilevel"/>
    <w:tmpl w:val="8ED4E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8672084">
    <w:abstractNumId w:val="0"/>
  </w:num>
  <w:num w:numId="2" w16cid:durableId="361907225">
    <w:abstractNumId w:val="1"/>
  </w:num>
  <w:num w:numId="3" w16cid:durableId="40448972">
    <w:abstractNumId w:val="2"/>
  </w:num>
  <w:num w:numId="4" w16cid:durableId="412506290">
    <w:abstractNumId w:val="4"/>
  </w:num>
  <w:num w:numId="5" w16cid:durableId="531842015">
    <w:abstractNumId w:val="5"/>
  </w:num>
  <w:num w:numId="6" w16cid:durableId="2795319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Y3NrY0NzI3MjUwsTBV0lEKTi0uzszPAykwrAUANOJk8SwAAAA="/>
  </w:docVars>
  <w:rsids>
    <w:rsidRoot w:val="005521DF"/>
    <w:rsid w:val="005521DF"/>
    <w:rsid w:val="00D548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44E14"/>
  <w15:chartTrackingRefBased/>
  <w15:docId w15:val="{D466B5A3-2477-44B7-83AF-DAEDB753E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1DF"/>
    <w:rPr>
      <w:rFonts w:eastAsiaTheme="majorEastAsia" w:cstheme="majorBidi"/>
      <w:color w:val="272727" w:themeColor="text1" w:themeTint="D8"/>
    </w:rPr>
  </w:style>
  <w:style w:type="paragraph" w:styleId="Title">
    <w:name w:val="Title"/>
    <w:basedOn w:val="Normal"/>
    <w:next w:val="Normal"/>
    <w:link w:val="TitleChar"/>
    <w:uiPriority w:val="10"/>
    <w:qFormat/>
    <w:rsid w:val="00552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1DF"/>
    <w:pPr>
      <w:spacing w:before="160"/>
      <w:jc w:val="center"/>
    </w:pPr>
    <w:rPr>
      <w:i/>
      <w:iCs/>
      <w:color w:val="404040" w:themeColor="text1" w:themeTint="BF"/>
    </w:rPr>
  </w:style>
  <w:style w:type="character" w:customStyle="1" w:styleId="QuoteChar">
    <w:name w:val="Quote Char"/>
    <w:basedOn w:val="DefaultParagraphFont"/>
    <w:link w:val="Quote"/>
    <w:uiPriority w:val="29"/>
    <w:rsid w:val="005521DF"/>
    <w:rPr>
      <w:i/>
      <w:iCs/>
      <w:color w:val="404040" w:themeColor="text1" w:themeTint="BF"/>
    </w:rPr>
  </w:style>
  <w:style w:type="paragraph" w:styleId="ListParagraph">
    <w:name w:val="List Paragraph"/>
    <w:basedOn w:val="Normal"/>
    <w:uiPriority w:val="34"/>
    <w:qFormat/>
    <w:rsid w:val="005521DF"/>
    <w:pPr>
      <w:ind w:left="720"/>
      <w:contextualSpacing/>
    </w:pPr>
  </w:style>
  <w:style w:type="character" w:styleId="IntenseEmphasis">
    <w:name w:val="Intense Emphasis"/>
    <w:basedOn w:val="DefaultParagraphFont"/>
    <w:uiPriority w:val="21"/>
    <w:qFormat/>
    <w:rsid w:val="005521DF"/>
    <w:rPr>
      <w:i/>
      <w:iCs/>
      <w:color w:val="0F4761" w:themeColor="accent1" w:themeShade="BF"/>
    </w:rPr>
  </w:style>
  <w:style w:type="paragraph" w:styleId="IntenseQuote">
    <w:name w:val="Intense Quote"/>
    <w:basedOn w:val="Normal"/>
    <w:next w:val="Normal"/>
    <w:link w:val="IntenseQuoteChar"/>
    <w:uiPriority w:val="30"/>
    <w:qFormat/>
    <w:rsid w:val="00552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1DF"/>
    <w:rPr>
      <w:i/>
      <w:iCs/>
      <w:color w:val="0F4761" w:themeColor="accent1" w:themeShade="BF"/>
    </w:rPr>
  </w:style>
  <w:style w:type="character" w:styleId="IntenseReference">
    <w:name w:val="Intense Reference"/>
    <w:basedOn w:val="DefaultParagraphFont"/>
    <w:uiPriority w:val="32"/>
    <w:qFormat/>
    <w:rsid w:val="005521DF"/>
    <w:rPr>
      <w:b/>
      <w:bCs/>
      <w:smallCaps/>
      <w:color w:val="0F4761" w:themeColor="accent1" w:themeShade="BF"/>
      <w:spacing w:val="5"/>
    </w:rPr>
  </w:style>
  <w:style w:type="table" w:styleId="TableGrid">
    <w:name w:val="Table Grid"/>
    <w:basedOn w:val="TableNormal"/>
    <w:uiPriority w:val="39"/>
    <w:rsid w:val="005521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521D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724</Words>
  <Characters>2052</Characters>
  <Application>Microsoft Office Word</Application>
  <DocSecurity>0</DocSecurity>
  <Lines>102</Lines>
  <Paragraphs>43</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turu</dc:creator>
  <cp:keywords/>
  <dc:description/>
  <cp:lastModifiedBy>Shaun turu</cp:lastModifiedBy>
  <cp:revision>1</cp:revision>
  <dcterms:created xsi:type="dcterms:W3CDTF">2026-01-24T13:12:00Z</dcterms:created>
  <dcterms:modified xsi:type="dcterms:W3CDTF">2026-01-24T13:15:00Z</dcterms:modified>
</cp:coreProperties>
</file>