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BF06" w14:textId="77777777" w:rsidR="00066C1C" w:rsidRPr="00066C1C" w:rsidRDefault="00066C1C" w:rsidP="00066C1C">
      <w:pPr>
        <w:rPr>
          <w:lang w:val="pt-BR"/>
        </w:rPr>
      </w:pPr>
      <w:r w:rsidRPr="00066C1C">
        <w:rPr>
          <w:b/>
          <w:bCs/>
          <w:lang w:val="pt-BR"/>
        </w:rPr>
        <w:t>INTRODUÇÃO</w:t>
      </w:r>
    </w:p>
    <w:p w14:paraId="20CF2F89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Os exemplos a seguir utilizam as tabelas REPRESENTANTE, CLIENTE e PEDIDO que se relacionam conforme o diagrama abaixo. Os scripts de criação e inserção de dados encontram-se no material de apoio.</w:t>
      </w:r>
    </w:p>
    <w:p w14:paraId="0B020602" w14:textId="70F498A3" w:rsidR="000971F2" w:rsidRDefault="00066C1C">
      <w:pPr>
        <w:rPr>
          <w:lang w:val="pt-BR"/>
        </w:rPr>
      </w:pPr>
      <w:r>
        <w:rPr>
          <w:noProof/>
        </w:rPr>
        <w:drawing>
          <wp:inline distT="0" distB="0" distL="0" distR="0" wp14:anchorId="7DD9157B" wp14:editId="3A873B24">
            <wp:extent cx="5257800" cy="2009775"/>
            <wp:effectExtent l="0" t="0" r="0" b="9525"/>
            <wp:docPr id="11114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832F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 Resumidamente, representantes de vendas emitem pedidos. Um pedido corresponde à venda feita por um representante a um cliente em uma data. O mapeamento do relacionamento CRP foi feito através de chaves estrangeiras na tabela PEDIDO.</w:t>
      </w:r>
    </w:p>
    <w:p w14:paraId="45A5E2E2" w14:textId="77777777" w:rsidR="00066C1C" w:rsidRPr="00066C1C" w:rsidRDefault="00066C1C" w:rsidP="00066C1C">
      <w:pPr>
        <w:rPr>
          <w:lang w:val="pt-BR"/>
        </w:rPr>
      </w:pPr>
      <w:r w:rsidRPr="00066C1C">
        <w:rPr>
          <w:rFonts w:ascii="Times New Roman" w:hAnsi="Times New Roman" w:cs="Times New Roman"/>
          <w:lang w:val="pt-BR"/>
        </w:rPr>
        <w:t>​</w:t>
      </w:r>
      <w:r w:rsidRPr="00066C1C">
        <w:rPr>
          <w:b/>
          <w:bCs/>
          <w:lang w:val="pt-BR"/>
        </w:rPr>
        <w:t>FUNÇÕES DE COLUNA</w:t>
      </w:r>
    </w:p>
    <w:p w14:paraId="07FDE294" w14:textId="77777777" w:rsidR="00066C1C" w:rsidRDefault="00066C1C" w:rsidP="00066C1C">
      <w:r w:rsidRPr="00066C1C">
        <w:rPr>
          <w:lang w:val="pt-BR"/>
        </w:rPr>
        <w:t xml:space="preserve">A linguagem SQL possui um conjunto de funções, chamadas de funções de coluna, que permitem que o resultado de uma consulta seja agrupado e sumarizado. Basicamente, estas funções são aplicadas a uma ou mais colunas presentes no comando SELECT. </w:t>
      </w:r>
      <w:r w:rsidRPr="00066C1C">
        <w:t xml:space="preserve">As </w:t>
      </w:r>
      <w:proofErr w:type="spellStart"/>
      <w:r w:rsidRPr="00066C1C">
        <w:t>funções</w:t>
      </w:r>
      <w:proofErr w:type="spellEnd"/>
      <w:r w:rsidRPr="00066C1C">
        <w:t xml:space="preserve"> de </w:t>
      </w:r>
      <w:proofErr w:type="spellStart"/>
      <w:r w:rsidRPr="00066C1C">
        <w:t>sumarização</w:t>
      </w:r>
      <w:proofErr w:type="spellEnd"/>
      <w:r w:rsidRPr="00066C1C">
        <w:t xml:space="preserve"> </w:t>
      </w:r>
      <w:proofErr w:type="spellStart"/>
      <w:r w:rsidRPr="00066C1C">
        <w:t>encontram</w:t>
      </w:r>
      <w:proofErr w:type="spellEnd"/>
      <w:r w:rsidRPr="00066C1C">
        <w:t>-</w:t>
      </w:r>
      <w:proofErr w:type="spellStart"/>
      <w:r w:rsidRPr="00066C1C">
        <w:t>se a</w:t>
      </w:r>
      <w:proofErr w:type="spellEnd"/>
      <w:r w:rsidRPr="00066C1C">
        <w:t xml:space="preserve"> </w:t>
      </w:r>
      <w:proofErr w:type="spellStart"/>
      <w:r w:rsidRPr="00066C1C">
        <w:t>seguir</w:t>
      </w:r>
      <w:proofErr w:type="spellEnd"/>
      <w:r w:rsidRPr="00066C1C">
        <w:t>.</w:t>
      </w:r>
    </w:p>
    <w:p w14:paraId="721837AE" w14:textId="7471426E" w:rsidR="00066C1C" w:rsidRDefault="00066C1C" w:rsidP="00066C1C">
      <w:r>
        <w:rPr>
          <w:noProof/>
        </w:rPr>
        <w:drawing>
          <wp:inline distT="0" distB="0" distL="0" distR="0" wp14:anchorId="3D32BB69" wp14:editId="33D72727">
            <wp:extent cx="5731510" cy="1424305"/>
            <wp:effectExtent l="0" t="0" r="2540" b="4445"/>
            <wp:docPr id="1823894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B1F2" w14:textId="40AA1F5F" w:rsidR="00066C1C" w:rsidRDefault="00066C1C" w:rsidP="00066C1C">
      <w:pPr>
        <w:rPr>
          <w:lang w:val="pt-BR"/>
        </w:rPr>
      </w:pPr>
      <w:r w:rsidRPr="00066C1C">
        <w:rPr>
          <w:lang w:val="pt-BR"/>
        </w:rPr>
        <w:t>Veja o resultado da consulta a seguir. A intenção é mostrar o representante que realizou a maior venda e o respectivo valor:</w:t>
      </w:r>
    </w:p>
    <w:p w14:paraId="3A4A4BD5" w14:textId="5BB38045" w:rsidR="00066C1C" w:rsidRDefault="00066C1C" w:rsidP="00066C1C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CFF1D7B" wp14:editId="2757A66B">
            <wp:extent cx="5731510" cy="884555"/>
            <wp:effectExtent l="0" t="0" r="2540" b="0"/>
            <wp:docPr id="428164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4577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Este não é o resultado esperado. Há dois pedidos de 16.000,00. E João da Silva não foi responsável por nenhum dos dois. O que aconteceu?</w:t>
      </w:r>
    </w:p>
    <w:p w14:paraId="47A69CEE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Consultas com funções de coluna retornam uma única linha. Pode-se usar diversas funções de coluna em uma única consulta, aplicadas a diferentes colunas, porém o valor de colunas simples, como </w:t>
      </w:r>
      <w:proofErr w:type="spellStart"/>
      <w:proofErr w:type="gramStart"/>
      <w:r w:rsidRPr="00066C1C">
        <w:rPr>
          <w:lang w:val="pt-BR"/>
        </w:rPr>
        <w:t>R.nome</w:t>
      </w:r>
      <w:proofErr w:type="spellEnd"/>
      <w:proofErr w:type="gramEnd"/>
      <w:r w:rsidRPr="00066C1C">
        <w:rPr>
          <w:lang w:val="pt-BR"/>
        </w:rPr>
        <w:t> na consulta anterior, retornam valores imprevisíveis. Deve-se, portanto, evitar misturar colunas simples e funções de coluna na mesma consulta.</w:t>
      </w:r>
    </w:p>
    <w:p w14:paraId="5DDF20DD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Consulta a seguir retorna o valor médio dos pedidos:</w:t>
      </w:r>
    </w:p>
    <w:p w14:paraId="305835E3" w14:textId="2290D048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1FB2D76E" wp14:editId="7E3DC3E3">
            <wp:extent cx="4695825" cy="1038225"/>
            <wp:effectExtent l="0" t="0" r="9525" b="9525"/>
            <wp:docPr id="1536707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44F8" w14:textId="77777777" w:rsidR="00066C1C" w:rsidRPr="00066C1C" w:rsidRDefault="00066C1C" w:rsidP="00066C1C">
      <w:pPr>
        <w:rPr>
          <w:b/>
          <w:bCs/>
        </w:rPr>
      </w:pPr>
      <w:r w:rsidRPr="00066C1C">
        <w:rPr>
          <w:b/>
          <w:bCs/>
        </w:rPr>
        <w:t>A CLÁUSULA ORDER BY</w:t>
      </w:r>
    </w:p>
    <w:p w14:paraId="70CD8308" w14:textId="77777777" w:rsidR="00066C1C" w:rsidRPr="00066C1C" w:rsidRDefault="00066C1C" w:rsidP="00066C1C">
      <w:r w:rsidRPr="00066C1C">
        <w:rPr>
          <w:lang w:val="pt-BR"/>
        </w:rPr>
        <w:t xml:space="preserve">A cláusula ORDER BY permite que a saída de uma consulta seja ordenada de acordo com as colunas retornadas. </w:t>
      </w:r>
      <w:r w:rsidRPr="00066C1C">
        <w:t xml:space="preserve">A </w:t>
      </w:r>
      <w:proofErr w:type="spellStart"/>
      <w:r w:rsidRPr="00066C1C">
        <w:t>sua</w:t>
      </w:r>
      <w:proofErr w:type="spellEnd"/>
      <w:r w:rsidRPr="00066C1C">
        <w:t xml:space="preserve"> forma </w:t>
      </w:r>
      <w:proofErr w:type="spellStart"/>
      <w:r w:rsidRPr="00066C1C">
        <w:t>geral</w:t>
      </w:r>
      <w:proofErr w:type="spellEnd"/>
      <w:r w:rsidRPr="00066C1C">
        <w:t xml:space="preserve"> é:</w:t>
      </w:r>
    </w:p>
    <w:p w14:paraId="2D8745A0" w14:textId="353A3E75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4FD11715" wp14:editId="4DDC7C58">
            <wp:extent cx="5731510" cy="508635"/>
            <wp:effectExtent l="0" t="0" r="2540" b="5715"/>
            <wp:docPr id="566676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BE03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Os modificadores ASC ou DEC especificam se a ordenação é por ordem crescente (valor padrão) ou decrescente, respectivamente. A consulta a seguir ordena o resultado da consulta por representante, cliente e data do pedido:</w:t>
      </w:r>
    </w:p>
    <w:p w14:paraId="406E5900" w14:textId="77777777" w:rsidR="00066C1C" w:rsidRPr="00066C1C" w:rsidRDefault="00066C1C" w:rsidP="00066C1C">
      <w:pPr>
        <w:rPr>
          <w:lang w:val="pt-BR"/>
        </w:rPr>
      </w:pPr>
      <w:r w:rsidRPr="00066C1C">
        <w:rPr>
          <w:b/>
          <w:bCs/>
          <w:lang w:val="pt-BR"/>
        </w:rPr>
        <w:t>A inclusão da cláusula GROPU BY, apresentada mais adiante, permite o retorno de várias linhas.</w:t>
      </w:r>
    </w:p>
    <w:p w14:paraId="3D0E09FA" w14:textId="3BBCFED2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2690CF5F" wp14:editId="2F420AE2">
            <wp:extent cx="5731510" cy="567055"/>
            <wp:effectExtent l="0" t="0" r="2540" b="4445"/>
            <wp:docPr id="1023792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6351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lastRenderedPageBreak/>
        <w:t xml:space="preserve">Na consulta, utilizou-se a função </w:t>
      </w:r>
      <w:proofErr w:type="gramStart"/>
      <w:r w:rsidRPr="00066C1C">
        <w:rPr>
          <w:lang w:val="pt-BR"/>
        </w:rPr>
        <w:t>FORMAT(</w:t>
      </w:r>
      <w:proofErr w:type="gramEnd"/>
      <w:r w:rsidRPr="00066C1C">
        <w:rPr>
          <w:lang w:val="pt-BR"/>
        </w:rPr>
        <w:t>) para exibir valor com o formato brasileiro. A função recebe 3 argumentos: o valor a ser formatado, o número de casas decimais e o formato a ser utilizado. No MySQL 8.0, o formato ‘</w:t>
      </w:r>
      <w:proofErr w:type="spellStart"/>
      <w:r w:rsidRPr="00066C1C">
        <w:rPr>
          <w:lang w:val="pt-BR"/>
        </w:rPr>
        <w:t>pt_BR</w:t>
      </w:r>
      <w:proofErr w:type="spellEnd"/>
      <w:r w:rsidRPr="00066C1C">
        <w:rPr>
          <w:lang w:val="pt-BR"/>
        </w:rPr>
        <w:t>’ não inclui os separadores de milhar, por isso foi utilizado outro padrão.</w:t>
      </w:r>
    </w:p>
    <w:p w14:paraId="71DC0499" w14:textId="298DF10E" w:rsidR="00066C1C" w:rsidRPr="00066C1C" w:rsidRDefault="00066C1C" w:rsidP="00066C1C">
      <w:pPr>
        <w:rPr>
          <w:b/>
          <w:bCs/>
        </w:rPr>
      </w:pPr>
      <w:r w:rsidRPr="00066C1C">
        <w:rPr>
          <w:b/>
          <w:bCs/>
        </w:rPr>
        <w:t>A CLÁUSULA GROUP BY</w:t>
      </w:r>
    </w:p>
    <w:p w14:paraId="20A94A42" w14:textId="77777777" w:rsidR="00066C1C" w:rsidRPr="00066C1C" w:rsidRDefault="00066C1C" w:rsidP="00066C1C">
      <w:r w:rsidRPr="00066C1C">
        <w:rPr>
          <w:lang w:val="pt-BR"/>
        </w:rPr>
        <w:t xml:space="preserve">Até o momento, as consultas utilizando funções de coluna retornavam uma única linha de resultado com o resultado da função. A cláusula GROUP BY permite sumarizar grupos de linhas de uma consulta em “subtotais”. </w:t>
      </w:r>
      <w:r w:rsidRPr="00066C1C">
        <w:t xml:space="preserve">Sua forma </w:t>
      </w:r>
      <w:proofErr w:type="spellStart"/>
      <w:r w:rsidRPr="00066C1C">
        <w:t>geral</w:t>
      </w:r>
      <w:proofErr w:type="spellEnd"/>
      <w:r w:rsidRPr="00066C1C">
        <w:t xml:space="preserve"> é:</w:t>
      </w:r>
    </w:p>
    <w:p w14:paraId="3AE5D75D" w14:textId="09CA1B84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71A99D74" wp14:editId="4227B675">
            <wp:extent cx="5731510" cy="636270"/>
            <wp:effectExtent l="0" t="0" r="2540" b="0"/>
            <wp:docPr id="1187970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99B5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Os exemplos a seguir ilustram o funcionamento da cláusula GROUP BY e do modificador WITH ROLLUP. </w:t>
      </w:r>
    </w:p>
    <w:p w14:paraId="10F894F7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Consulta para calcular o valor total de pedidos por representante, ordenado por nome:</w:t>
      </w:r>
    </w:p>
    <w:p w14:paraId="0640EA5E" w14:textId="1EF2F2FC" w:rsidR="00066C1C" w:rsidRDefault="00066C1C" w:rsidP="00066C1C">
      <w:pPr>
        <w:rPr>
          <w:rFonts w:ascii="Times New Roman" w:hAnsi="Times New Roman" w:cs="Times New Roman"/>
        </w:rPr>
      </w:pPr>
      <w:r w:rsidRPr="00066C1C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7ED16096" wp14:editId="395CB52E">
            <wp:extent cx="5731510" cy="1609725"/>
            <wp:effectExtent l="0" t="0" r="2540" b="9525"/>
            <wp:docPr id="378149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1B14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 xml:space="preserve">Neste último exemplo, foi possível mesclar colunas simples com funções de coluna graças à cláusula GROUP BY. Ela cria uma hierarquia de colunas que serão utilizadas para a </w:t>
      </w:r>
      <w:proofErr w:type="spellStart"/>
      <w:r w:rsidRPr="00066C1C">
        <w:rPr>
          <w:lang w:val="pt-BR"/>
        </w:rPr>
        <w:t>subtotalização</w:t>
      </w:r>
      <w:proofErr w:type="spellEnd"/>
      <w:r w:rsidRPr="00066C1C">
        <w:rPr>
          <w:lang w:val="pt-BR"/>
        </w:rPr>
        <w:t xml:space="preserve">. No exemplo acima, as linhas selecionadas pela cláusula WHERE são ordenadas por </w:t>
      </w:r>
      <w:proofErr w:type="spellStart"/>
      <w:proofErr w:type="gramStart"/>
      <w:r w:rsidRPr="00066C1C">
        <w:rPr>
          <w:lang w:val="pt-BR"/>
        </w:rPr>
        <w:t>R.nome</w:t>
      </w:r>
      <w:proofErr w:type="spellEnd"/>
      <w:proofErr w:type="gramEnd"/>
      <w:r w:rsidRPr="00066C1C">
        <w:rPr>
          <w:lang w:val="pt-BR"/>
        </w:rPr>
        <w:t xml:space="preserve">. </w:t>
      </w:r>
      <w:proofErr w:type="spellStart"/>
      <w:proofErr w:type="gramStart"/>
      <w:r w:rsidRPr="00066C1C">
        <w:rPr>
          <w:lang w:val="pt-BR"/>
        </w:rPr>
        <w:t>P.valor</w:t>
      </w:r>
      <w:proofErr w:type="spellEnd"/>
      <w:proofErr w:type="gramEnd"/>
      <w:r w:rsidRPr="00066C1C">
        <w:rPr>
          <w:lang w:val="pt-BR"/>
        </w:rPr>
        <w:t xml:space="preserve"> é totalizado para cada valor distinto de </w:t>
      </w:r>
      <w:proofErr w:type="spellStart"/>
      <w:proofErr w:type="gramStart"/>
      <w:r w:rsidRPr="00066C1C">
        <w:rPr>
          <w:lang w:val="pt-BR"/>
        </w:rPr>
        <w:t>R.nome</w:t>
      </w:r>
      <w:proofErr w:type="spellEnd"/>
      <w:proofErr w:type="gramEnd"/>
      <w:r w:rsidRPr="00066C1C">
        <w:rPr>
          <w:lang w:val="pt-BR"/>
        </w:rPr>
        <w:t xml:space="preserve">. O </w:t>
      </w:r>
      <w:proofErr w:type="gramStart"/>
      <w:r w:rsidRPr="00066C1C">
        <w:rPr>
          <w:lang w:val="pt-BR"/>
        </w:rPr>
        <w:t>resultado final</w:t>
      </w:r>
      <w:proofErr w:type="gramEnd"/>
      <w:r w:rsidRPr="00066C1C">
        <w:rPr>
          <w:lang w:val="pt-BR"/>
        </w:rPr>
        <w:t xml:space="preserve"> corresponde a uma linha para cada valor de </w:t>
      </w:r>
      <w:proofErr w:type="spellStart"/>
      <w:proofErr w:type="gramStart"/>
      <w:r w:rsidRPr="00066C1C">
        <w:rPr>
          <w:lang w:val="pt-BR"/>
        </w:rPr>
        <w:t>R.nome</w:t>
      </w:r>
      <w:proofErr w:type="spellEnd"/>
      <w:proofErr w:type="gramEnd"/>
      <w:r w:rsidRPr="00066C1C">
        <w:rPr>
          <w:lang w:val="pt-BR"/>
        </w:rPr>
        <w:t xml:space="preserve"> com a soma de </w:t>
      </w:r>
      <w:proofErr w:type="spellStart"/>
      <w:proofErr w:type="gramStart"/>
      <w:r w:rsidRPr="00066C1C">
        <w:rPr>
          <w:lang w:val="pt-BR"/>
        </w:rPr>
        <w:t>R.valor</w:t>
      </w:r>
      <w:proofErr w:type="spellEnd"/>
      <w:proofErr w:type="gramEnd"/>
      <w:r w:rsidRPr="00066C1C">
        <w:rPr>
          <w:lang w:val="pt-BR"/>
        </w:rPr>
        <w:t>.  Importante: a cláusula ORDER BY deve sempre vir depois da GROUP BY.</w:t>
      </w:r>
    </w:p>
    <w:p w14:paraId="4C12A87B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Consulta para calcular o valor total de pedidos por representante e cliente, ordenado por nome do representante e nome do cliente (a tabela da direita é a continuação do resultado da consulta):</w:t>
      </w:r>
    </w:p>
    <w:p w14:paraId="63B3EF80" w14:textId="08F685F8" w:rsidR="00066C1C" w:rsidRDefault="00066C1C" w:rsidP="00066C1C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E6D5952" wp14:editId="580A3259">
            <wp:extent cx="5731510" cy="2164715"/>
            <wp:effectExtent l="0" t="0" r="2540" b="6985"/>
            <wp:docPr id="15551021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7C92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Utilizando a consulta anterior, deseja-se incluir o valor total de pedidos por representante, ou seja, a cada mudança de representante, deseja-se incluir o total daquele representante. O modificador WITH ROLLUP é utilizado para isto: quando uma coluna da cláusula GROUP BY tem o seu valor alterado, é incluída uma linha com a totalização daquela coluna. As colunas que não tiveram seu valor alterado são preenchidas com NULL.</w:t>
      </w:r>
    </w:p>
    <w:p w14:paraId="4F95EE22" w14:textId="04898CC8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022CAC96" wp14:editId="1B3F1303">
            <wp:extent cx="5731510" cy="2670175"/>
            <wp:effectExtent l="0" t="0" r="2540" b="0"/>
            <wp:docPr id="1022751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E475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 xml:space="preserve">Não era exatamente isto que se desejava. As linhas de totalização aparecem antes das linhas de </w:t>
      </w:r>
      <w:proofErr w:type="spellStart"/>
      <w:r w:rsidRPr="00066C1C">
        <w:rPr>
          <w:lang w:val="pt-BR"/>
        </w:rPr>
        <w:t>subtotalização</w:t>
      </w:r>
      <w:proofErr w:type="spellEnd"/>
      <w:r w:rsidRPr="00066C1C">
        <w:rPr>
          <w:lang w:val="pt-BR"/>
        </w:rPr>
        <w:t>. Isto ocorreu por causa dos valores NULL durante a ordenação do resultado. Se tirarmos a cláusula ORDER BY o resultado aparece na ordenação correta (verifique!). Na realidade, o resultado de uma consulta com a cláusula GROUP BY sempre estará ordenado pelas colunas desta cláusula, portanto não é necessária a utilização da cláusula ORDER BY.</w:t>
      </w:r>
    </w:p>
    <w:p w14:paraId="31744B2D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lastRenderedPageBreak/>
        <w:t xml:space="preserve">Observe que os valores NULL que aparecem em uma consulta podem ser originados da cláusula GROUP BY . . .  WITH ROLLUP ou por causa de colunas com o valor NULL nas linhas selecionadas. A função de coluna </w:t>
      </w:r>
      <w:proofErr w:type="gramStart"/>
      <w:r w:rsidRPr="00066C1C">
        <w:rPr>
          <w:lang w:val="pt-BR"/>
        </w:rPr>
        <w:t>GROUPING(</w:t>
      </w:r>
      <w:proofErr w:type="gramEnd"/>
      <w:r w:rsidRPr="00066C1C">
        <w:rPr>
          <w:lang w:val="pt-BR"/>
        </w:rPr>
        <w:t>) permite saber qual é a origem do NULL:</w:t>
      </w:r>
    </w:p>
    <w:p w14:paraId="090E17D4" w14:textId="53320805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500AD7FC" wp14:editId="386436E3">
            <wp:extent cx="5731510" cy="2270760"/>
            <wp:effectExtent l="0" t="0" r="2540" b="0"/>
            <wp:docPr id="15329257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D58E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 xml:space="preserve">A função </w:t>
      </w:r>
      <w:proofErr w:type="gramStart"/>
      <w:r w:rsidRPr="00066C1C">
        <w:rPr>
          <w:lang w:val="pt-BR"/>
        </w:rPr>
        <w:t>GROUPING(</w:t>
      </w:r>
      <w:proofErr w:type="gramEnd"/>
      <w:r w:rsidRPr="00066C1C">
        <w:rPr>
          <w:lang w:val="pt-BR"/>
        </w:rPr>
        <w:t xml:space="preserve">) retorna 1 sempre que a coluna correspondente recebeu o valor NULL por conta da cláusula GROUP BY . . .  WITH ROLLUP. O resultado pode ainda ficar melhor com o uso da função </w:t>
      </w:r>
      <w:proofErr w:type="gramStart"/>
      <w:r w:rsidRPr="00066C1C">
        <w:rPr>
          <w:lang w:val="pt-BR"/>
        </w:rPr>
        <w:t>IF(</w:t>
      </w:r>
      <w:proofErr w:type="gramEnd"/>
      <w:r w:rsidRPr="00066C1C">
        <w:rPr>
          <w:lang w:val="pt-BR"/>
        </w:rPr>
        <w:t xml:space="preserve">). A sua forma geral é </w:t>
      </w:r>
      <w:proofErr w:type="gramStart"/>
      <w:r w:rsidRPr="00066C1C">
        <w:rPr>
          <w:lang w:val="pt-BR"/>
        </w:rPr>
        <w:t>IF(</w:t>
      </w:r>
      <w:proofErr w:type="gramEnd"/>
      <w:r w:rsidRPr="00066C1C">
        <w:rPr>
          <w:lang w:val="pt-BR"/>
        </w:rPr>
        <w:t xml:space="preserve">condição, </w:t>
      </w:r>
      <w:proofErr w:type="spellStart"/>
      <w:r w:rsidRPr="00066C1C">
        <w:rPr>
          <w:lang w:val="pt-BR"/>
        </w:rPr>
        <w:t>valor_se_verdadeiro</w:t>
      </w:r>
      <w:proofErr w:type="spellEnd"/>
      <w:r w:rsidRPr="00066C1C">
        <w:rPr>
          <w:lang w:val="pt-BR"/>
        </w:rPr>
        <w:t xml:space="preserve">, </w:t>
      </w:r>
      <w:proofErr w:type="spellStart"/>
      <w:r w:rsidRPr="00066C1C">
        <w:rPr>
          <w:lang w:val="pt-BR"/>
        </w:rPr>
        <w:t>valor_se_falso</w:t>
      </w:r>
      <w:proofErr w:type="spellEnd"/>
      <w:r w:rsidRPr="00066C1C">
        <w:rPr>
          <w:lang w:val="pt-BR"/>
        </w:rPr>
        <w:t>):</w:t>
      </w:r>
    </w:p>
    <w:p w14:paraId="7B3DFDE9" w14:textId="1856E0F6" w:rsidR="00066C1C" w:rsidRDefault="00066C1C" w:rsidP="00066C1C">
      <w:pPr>
        <w:rPr>
          <w:lang w:val="pt-BR"/>
        </w:rPr>
      </w:pPr>
      <w:r>
        <w:rPr>
          <w:noProof/>
        </w:rPr>
        <w:drawing>
          <wp:inline distT="0" distB="0" distL="0" distR="0" wp14:anchorId="5B356ACF" wp14:editId="509485B8">
            <wp:extent cx="5731510" cy="2654935"/>
            <wp:effectExtent l="0" t="0" r="2540" b="0"/>
            <wp:docPr id="397642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C6DF" w14:textId="27DF2980" w:rsidR="00066C1C" w:rsidRDefault="00066C1C" w:rsidP="00066C1C">
      <w:pPr>
        <w:rPr>
          <w:lang w:val="pt-BR"/>
        </w:rPr>
      </w:pPr>
      <w:r w:rsidRPr="00066C1C">
        <w:rPr>
          <w:lang w:val="pt-BR"/>
        </w:rPr>
        <w:t xml:space="preserve">A função </w:t>
      </w:r>
      <w:proofErr w:type="gramStart"/>
      <w:r w:rsidRPr="00066C1C">
        <w:rPr>
          <w:lang w:val="pt-BR"/>
        </w:rPr>
        <w:t>GROUPING(</w:t>
      </w:r>
      <w:proofErr w:type="gramEnd"/>
      <w:r w:rsidRPr="00066C1C">
        <w:rPr>
          <w:lang w:val="pt-BR"/>
        </w:rPr>
        <w:t>) pode ter vários argumentos. Cada bit do valor retornado corresponde ao resultado relacionado a um dos argumentos.</w:t>
      </w:r>
    </w:p>
    <w:p w14:paraId="76347F1A" w14:textId="77777777" w:rsidR="00066C1C" w:rsidRPr="00066C1C" w:rsidRDefault="00066C1C" w:rsidP="00066C1C">
      <w:pPr>
        <w:rPr>
          <w:b/>
          <w:bCs/>
        </w:rPr>
      </w:pPr>
      <w:r w:rsidRPr="00066C1C">
        <w:rPr>
          <w:b/>
          <w:bCs/>
        </w:rPr>
        <w:t>A CLÁUSULA HAVING</w:t>
      </w:r>
    </w:p>
    <w:p w14:paraId="56FD0CB1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lastRenderedPageBreak/>
        <w:t>A cláusula HAVING está para a cláusula GROUP BY assim como a cláusula WHERE está para o SELECT. Sua função é selecionar as linhas que formarão o resultado após a totalização da cláusula GROUP BY. Sua forma geral é:</w:t>
      </w:r>
    </w:p>
    <w:p w14:paraId="44DCD311" w14:textId="41D6B065" w:rsidR="00066C1C" w:rsidRPr="00066C1C" w:rsidRDefault="00066C1C" w:rsidP="00066C1C">
      <w:r w:rsidRPr="00066C1C">
        <w:rPr>
          <w:b/>
          <w:bCs/>
          <w:lang w:val="pt-BR"/>
        </w:rPr>
        <w:t xml:space="preserve">Para se saber que argumentos retornam o valor 1 deve-se converter o valor retornado pela função para a base 2. Por exemplo, </w:t>
      </w:r>
      <w:proofErr w:type="gramStart"/>
      <w:r w:rsidRPr="00066C1C">
        <w:rPr>
          <w:b/>
          <w:bCs/>
          <w:lang w:val="pt-BR"/>
        </w:rPr>
        <w:t>GROUPING(</w:t>
      </w:r>
      <w:proofErr w:type="gramEnd"/>
      <w:r w:rsidRPr="00066C1C">
        <w:rPr>
          <w:b/>
          <w:bCs/>
          <w:lang w:val="pt-BR"/>
        </w:rPr>
        <w:t xml:space="preserve">a. b, c) retornando o valor 5; 5 = b00000101; os valores NULL das colunas a e c são devido à cláusula GROUP BY . . .  </w:t>
      </w:r>
      <w:r w:rsidRPr="00066C1C">
        <w:rPr>
          <w:b/>
          <w:bCs/>
        </w:rPr>
        <w:t>WITH ROLLUP.</w:t>
      </w:r>
    </w:p>
    <w:p w14:paraId="5274CB09" w14:textId="35EF26E3" w:rsidR="00066C1C" w:rsidRDefault="00066C1C">
      <w:pPr>
        <w:rPr>
          <w:lang w:val="pt-BR"/>
        </w:rPr>
      </w:pPr>
      <w:r>
        <w:rPr>
          <w:noProof/>
        </w:rPr>
        <w:drawing>
          <wp:inline distT="0" distB="0" distL="0" distR="0" wp14:anchorId="1DC63A06" wp14:editId="386E6F2C">
            <wp:extent cx="5731510" cy="2722880"/>
            <wp:effectExtent l="0" t="0" r="2540" b="1270"/>
            <wp:docPr id="718940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969D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 xml:space="preserve">As cláusulas WHERE e HAVING são utilizadas para selecionar linhas em uma consulta. A primeira seleciona linhas individuais oriundas da junção das tabelas participantes enquanto a segunda seleciona linhas oriundas da </w:t>
      </w:r>
      <w:proofErr w:type="spellStart"/>
      <w:r w:rsidRPr="00066C1C">
        <w:rPr>
          <w:lang w:val="pt-BR"/>
        </w:rPr>
        <w:t>subtotalização</w:t>
      </w:r>
      <w:proofErr w:type="spellEnd"/>
      <w:r w:rsidRPr="00066C1C">
        <w:rPr>
          <w:lang w:val="pt-BR"/>
        </w:rPr>
        <w:t xml:space="preserve"> de linhas. Por isso, não faz muito sentido utilizar a cláusula HAVING sem GROUP BY. Outra diferença entre WHERE e HAVING é que a primeira não permite o uso de funções de coluna, enquanto a segunda, sim. Na realidade, a cláusula HAVING quase sempre tem uma função de coluna ou faz referência a uma função de coluna em SELECT.</w:t>
      </w:r>
    </w:p>
    <w:p w14:paraId="45F3DC8D" w14:textId="77777777" w:rsidR="00066C1C" w:rsidRPr="00066C1C" w:rsidRDefault="00066C1C" w:rsidP="00066C1C">
      <w:pPr>
        <w:rPr>
          <w:lang w:val="pt-BR"/>
        </w:rPr>
      </w:pPr>
      <w:r w:rsidRPr="00066C1C">
        <w:rPr>
          <w:lang w:val="pt-BR"/>
        </w:rPr>
        <w:t>No último exemplo, a condição de HAVING utilizou a mesma função de coluna que constava no SELECT. Por que não utilizar a condição TOTAL &gt; 25000 no lugar? Porque o codinome TOTAL faz referência à FORMAT(SUM(</w:t>
      </w:r>
      <w:proofErr w:type="spellStart"/>
      <w:proofErr w:type="gramStart"/>
      <w:r w:rsidRPr="00066C1C">
        <w:rPr>
          <w:lang w:val="pt-BR"/>
        </w:rPr>
        <w:t>P.valor</w:t>
      </w:r>
      <w:proofErr w:type="spellEnd"/>
      <w:proofErr w:type="gramEnd"/>
      <w:r w:rsidRPr="00066C1C">
        <w:rPr>
          <w:lang w:val="pt-BR"/>
        </w:rPr>
        <w:t>), 2, ‘</w:t>
      </w:r>
      <w:proofErr w:type="spellStart"/>
      <w:r w:rsidRPr="00066C1C">
        <w:rPr>
          <w:lang w:val="pt-BR"/>
        </w:rPr>
        <w:t>de_DE</w:t>
      </w:r>
      <w:proofErr w:type="spellEnd"/>
      <w:r w:rsidRPr="00066C1C">
        <w:rPr>
          <w:lang w:val="pt-BR"/>
        </w:rPr>
        <w:t>’), cujo tipo é texto e não numérico. Se no SELECT tivesse sido usado simplesmente SUM(</w:t>
      </w:r>
      <w:proofErr w:type="spellStart"/>
      <w:proofErr w:type="gramStart"/>
      <w:r w:rsidRPr="00066C1C">
        <w:rPr>
          <w:lang w:val="pt-BR"/>
        </w:rPr>
        <w:t>P.valor</w:t>
      </w:r>
      <w:proofErr w:type="spellEnd"/>
      <w:proofErr w:type="gramEnd"/>
      <w:r w:rsidRPr="00066C1C">
        <w:rPr>
          <w:lang w:val="pt-BR"/>
        </w:rPr>
        <w:t>), a condição TOTAL &gt; 25000 poderia ser utilizada sem problema (verifique!). </w:t>
      </w:r>
    </w:p>
    <w:p w14:paraId="3681C997" w14:textId="77777777" w:rsidR="00066C1C" w:rsidRPr="00066C1C" w:rsidRDefault="00066C1C" w:rsidP="00066C1C">
      <w:proofErr w:type="spellStart"/>
      <w:r w:rsidRPr="00066C1C">
        <w:rPr>
          <w:b/>
          <w:bCs/>
        </w:rPr>
        <w:t>Referência</w:t>
      </w:r>
      <w:proofErr w:type="spellEnd"/>
      <w:r w:rsidRPr="00066C1C">
        <w:rPr>
          <w:b/>
          <w:bCs/>
        </w:rPr>
        <w:t xml:space="preserve"> </w:t>
      </w:r>
      <w:proofErr w:type="spellStart"/>
      <w:r w:rsidRPr="00066C1C">
        <w:rPr>
          <w:b/>
          <w:bCs/>
        </w:rPr>
        <w:t>Bibliográfica</w:t>
      </w:r>
      <w:proofErr w:type="spellEnd"/>
    </w:p>
    <w:p w14:paraId="2C1F8278" w14:textId="77777777" w:rsidR="00066C1C" w:rsidRPr="00066C1C" w:rsidRDefault="00066C1C" w:rsidP="00066C1C">
      <w:pPr>
        <w:numPr>
          <w:ilvl w:val="0"/>
          <w:numId w:val="5"/>
        </w:numPr>
        <w:rPr>
          <w:lang w:val="pt-BR"/>
        </w:rPr>
      </w:pPr>
      <w:r w:rsidRPr="00066C1C">
        <w:rPr>
          <w:lang w:val="pt-BR"/>
        </w:rPr>
        <w:lastRenderedPageBreak/>
        <w:t>ELMASRI, R. e NAVATHE, S. B. </w:t>
      </w:r>
      <w:r w:rsidRPr="00066C1C">
        <w:rPr>
          <w:b/>
          <w:bCs/>
          <w:lang w:val="pt-BR"/>
        </w:rPr>
        <w:t>Sistemas de Banco de Dados.</w:t>
      </w:r>
      <w:r w:rsidRPr="00066C1C">
        <w:rPr>
          <w:lang w:val="pt-BR"/>
        </w:rPr>
        <w:t> 7ª Ed., São Paulo: Pearson, 2011.</w:t>
      </w:r>
    </w:p>
    <w:p w14:paraId="4FDCFC8D" w14:textId="77777777" w:rsidR="00066C1C" w:rsidRPr="00066C1C" w:rsidRDefault="00066C1C" w:rsidP="00066C1C">
      <w:pPr>
        <w:numPr>
          <w:ilvl w:val="0"/>
          <w:numId w:val="5"/>
        </w:numPr>
      </w:pPr>
      <w:r w:rsidRPr="00066C1C">
        <w:rPr>
          <w:lang w:val="pt-BR"/>
        </w:rPr>
        <w:t>RAMAKRISHNAN, R., GEHRKE, J. </w:t>
      </w:r>
      <w:r w:rsidRPr="00066C1C">
        <w:rPr>
          <w:b/>
          <w:bCs/>
          <w:lang w:val="pt-BR"/>
        </w:rPr>
        <w:t>Sistemas de Gerenciamento de Banco de Dados.</w:t>
      </w:r>
      <w:r w:rsidRPr="00066C1C">
        <w:rPr>
          <w:lang w:val="pt-BR"/>
        </w:rPr>
        <w:t> </w:t>
      </w:r>
      <w:r w:rsidRPr="00066C1C">
        <w:t>3ª Ed., São Paulo: McGraw-Hill, 2008.</w:t>
      </w:r>
    </w:p>
    <w:p w14:paraId="6BD18795" w14:textId="77777777" w:rsidR="00066C1C" w:rsidRPr="00066C1C" w:rsidRDefault="00066C1C" w:rsidP="00066C1C">
      <w:pPr>
        <w:numPr>
          <w:ilvl w:val="0"/>
          <w:numId w:val="5"/>
        </w:numPr>
      </w:pPr>
      <w:r w:rsidRPr="00066C1C">
        <w:rPr>
          <w:lang w:val="pt-BR"/>
        </w:rPr>
        <w:t>CORONEL, C. e ROB, P. </w:t>
      </w:r>
      <w:r w:rsidRPr="00066C1C">
        <w:rPr>
          <w:b/>
          <w:bCs/>
          <w:lang w:val="pt-BR"/>
        </w:rPr>
        <w:t>Sistemas de Banco de Dados - Projeto, Implementação e Gerenciamento.</w:t>
      </w:r>
      <w:r w:rsidRPr="00066C1C">
        <w:rPr>
          <w:lang w:val="pt-BR"/>
        </w:rPr>
        <w:t> </w:t>
      </w:r>
      <w:r w:rsidRPr="00066C1C">
        <w:t>1ª Ed., São Paulo: Cengage, 2010.</w:t>
      </w:r>
    </w:p>
    <w:p w14:paraId="604B6194" w14:textId="77777777" w:rsidR="00066C1C" w:rsidRPr="00066C1C" w:rsidRDefault="00066C1C" w:rsidP="00066C1C">
      <w:pPr>
        <w:numPr>
          <w:ilvl w:val="0"/>
          <w:numId w:val="5"/>
        </w:numPr>
      </w:pPr>
      <w:r w:rsidRPr="00066C1C">
        <w:t>GROFF, J. R., WEINBERG, P. N. e OPPEL, A. J. SQL: </w:t>
      </w:r>
      <w:r w:rsidRPr="00066C1C">
        <w:rPr>
          <w:b/>
          <w:bCs/>
        </w:rPr>
        <w:t>The Complete Reference.</w:t>
      </w:r>
      <w:r w:rsidRPr="00066C1C">
        <w:t> 3a Ed., Nova York: McGraw-Hill, 2009.</w:t>
      </w:r>
    </w:p>
    <w:p w14:paraId="781E4D30" w14:textId="77777777" w:rsidR="00066C1C" w:rsidRPr="00066C1C" w:rsidRDefault="00066C1C">
      <w:pPr>
        <w:rPr>
          <w:lang w:val="pt-BR"/>
        </w:rPr>
      </w:pPr>
    </w:p>
    <w:sectPr w:rsidR="00066C1C" w:rsidRPr="00066C1C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A2B"/>
    <w:multiLevelType w:val="multilevel"/>
    <w:tmpl w:val="420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64026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55"/>
    <w:rsid w:val="00051304"/>
    <w:rsid w:val="00066C1C"/>
    <w:rsid w:val="000971F2"/>
    <w:rsid w:val="0012451D"/>
    <w:rsid w:val="002B4D8C"/>
    <w:rsid w:val="00323BDD"/>
    <w:rsid w:val="005447A6"/>
    <w:rsid w:val="00732D44"/>
    <w:rsid w:val="00AA4329"/>
    <w:rsid w:val="00AC7C55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86C5"/>
  <w15:chartTrackingRefBased/>
  <w15:docId w15:val="{1647B9EC-AA22-427F-B4E3-0CFF5505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5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5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5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5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5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5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5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1011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2026-04-20T20:37:00Z</dcterms:created>
  <dcterms:modified xsi:type="dcterms:W3CDTF">2026-04-20T20:44:00Z</dcterms:modified>
</cp:coreProperties>
</file>