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FE9C" w14:textId="77777777" w:rsidR="00796E0E" w:rsidRDefault="00000000">
      <w:pPr>
        <w:spacing w:after="0" w:line="360" w:lineRule="auto"/>
      </w:pPr>
      <w:r>
        <w:rPr>
          <w:rFonts w:ascii="source serif 4" w:eastAsia="source serif 4" w:hAnsi="source serif 4" w:cs="source serif 4"/>
          <w:noProof/>
          <w:color w:val="000000"/>
        </w:rPr>
        <w:drawing>
          <wp:inline distT="0" distB="0" distL="0" distR="0" wp14:anchorId="0E95FFB8" wp14:editId="0E95FFB9">
            <wp:extent cx="2420112" cy="609600"/>
            <wp:effectExtent l="0" t="0" r="0" b="0"/>
            <wp:docPr id="1" name="image-7d03c6eedffb41dd00a2a6a73d247c0dcc278995.png"/>
            <wp:cNvGraphicFramePr/>
            <a:graphic xmlns:a="http://schemas.openxmlformats.org/drawingml/2006/main">
              <a:graphicData uri="http://schemas.openxmlformats.org/drawingml/2006/picture">
                <pic:pic xmlns:pic="http://schemas.openxmlformats.org/drawingml/2006/picture">
                  <pic:nvPicPr>
                    <pic:cNvPr id="1" name="image-7d03c6eedffb41dd00a2a6a73d247c0dcc278995.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0E95FE9D" w14:textId="77777777" w:rsidR="00796E0E" w:rsidRDefault="00000000">
      <w:pPr>
        <w:spacing w:before="157" w:after="157" w:line="270" w:lineRule="auto"/>
      </w:pPr>
      <w:bookmarkStart w:id="0" w:name="i_have_a_model_to_quantify_future_b2dc16"/>
      <w:r>
        <w:rPr>
          <w:rFonts w:ascii="source serif 4" w:eastAsia="source serif 4" w:hAnsi="source serif 4" w:cs="source serif 4"/>
          <w:b/>
          <w:color w:val="000000"/>
          <w:sz w:val="39"/>
        </w:rPr>
        <w:t>I have a model to quantify future LV grid loading. It is based on todays grid capacities (mainly transformers and cables) and a household load estimation. With a power flow I get values of overloading. e.g., an overloading of a transformer that requires its substitution or an overloaded cable that requires an additional parallel cable as reinforcement. For now, I dont assume completely new grid supply areas, but just the reinforcement of existing settlement structures.</w:t>
      </w:r>
      <w:bookmarkEnd w:id="0"/>
    </w:p>
    <w:p w14:paraId="0E95FEA2" w14:textId="77777777" w:rsidR="00796E0E" w:rsidRDefault="00000000">
      <w:pPr>
        <w:spacing w:after="210" w:line="360" w:lineRule="auto"/>
      </w:pPr>
      <w:hyperlink r:id="rId6">
        <w:r>
          <w:rPr>
            <w:rFonts w:ascii="source sans 3" w:eastAsia="source sans 3" w:hAnsi="source sans 3" w:cs="source sans 3"/>
            <w:u w:val="single"/>
          </w:rPr>
          <w:t>Vertiefte Recherche</w:t>
        </w:r>
      </w:hyperlink>
    </w:p>
    <w:p w14:paraId="0E95FEA3" w14:textId="77777777" w:rsidR="00796E0E" w:rsidRDefault="00000000">
      <w:pPr>
        <w:spacing w:after="210" w:line="360" w:lineRule="auto"/>
      </w:pPr>
      <w:r>
        <w:rPr>
          <w:rFonts w:ascii="source serif 4" w:eastAsia="source serif 4" w:hAnsi="source serif 4" w:cs="source serif 4"/>
          <w:color w:val="000000"/>
        </w:rPr>
        <w:t xml:space="preserve">Your current assumption that LV reinforcement can be done without reopening streets is only partially valid: it matches how </w:t>
      </w:r>
      <w:r>
        <w:rPr>
          <w:rFonts w:ascii="source serif 4" w:eastAsia="source serif 4" w:hAnsi="source serif 4" w:cs="source serif 4"/>
          <w:i/>
          <w:color w:val="000000"/>
        </w:rPr>
        <w:t>subsequent</w:t>
      </w:r>
      <w:r>
        <w:rPr>
          <w:rFonts w:ascii="source serif 4" w:eastAsia="source serif 4" w:hAnsi="source serif 4" w:cs="source serif 4"/>
          <w:color w:val="000000"/>
        </w:rPr>
        <w:t xml:space="preserve"> parallel cables are often installed in Germany, but it is too optimistic for the </w:t>
      </w:r>
      <w:r>
        <w:rPr>
          <w:rFonts w:ascii="source serif 4" w:eastAsia="source serif 4" w:hAnsi="source serif 4" w:cs="source serif 4"/>
          <w:i/>
          <w:color w:val="000000"/>
        </w:rPr>
        <w:t>first</w:t>
      </w:r>
      <w:r>
        <w:rPr>
          <w:rFonts w:ascii="source serif 4" w:eastAsia="source serif 4" w:hAnsi="source serif 4" w:cs="source serif 4"/>
          <w:color w:val="000000"/>
        </w:rPr>
        <w:t xml:space="preserve"> reinforcement of an existing route and for many legacy LV grids without spare ducts.</w:t>
      </w:r>
      <w:bookmarkStart w:id="1" w:name="fnref1"/>
      <w:bookmarkEnd w:id="1"/>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2" w:name="fnref2"/>
      <w:bookmarkEnd w:id="2"/>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r>
        <w:rPr>
          <w:rFonts w:ascii="source serif 4" w:eastAsia="source serif 4" w:hAnsi="source serif 4" w:cs="source serif 4"/>
          <w:color w:val="000000"/>
        </w:rPr>
        <w:br/>
        <w:t>A heuristic cost model for German LV grid expansion can be robustly grounded in official studies; when calibrated to their unit cost ranges, your transformer and cable cost assumptions are broadly defensible, provided you explicitly distinguish first‑time trenching from later cable additions and account for urban–rural differences.</w:t>
      </w:r>
      <w:bookmarkStart w:id="3" w:name="fnref3"/>
      <w:bookmarkEnd w:id="3"/>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4" w:name="fnref2_1"/>
      <w:bookmarkEnd w:id="4"/>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5" w:name="fnref4"/>
      <w:bookmarkEnd w:id="5"/>
      <w:r>
        <w:fldChar w:fldCharType="begin"/>
      </w:r>
      <w:r>
        <w:instrText>HYPERLINK \l "fn4" \h</w:instrText>
      </w:r>
      <w:r>
        <w:fldChar w:fldCharType="separate"/>
      </w:r>
      <w:r>
        <w:rPr>
          <w:rFonts w:ascii="source sans 3" w:eastAsia="source sans 3" w:hAnsi="source sans 3" w:cs="source sans 3"/>
          <w:u w:val="single"/>
          <w:vertAlign w:val="superscript"/>
        </w:rPr>
        <w:t>[4]</w:t>
      </w:r>
      <w:r>
        <w:fldChar w:fldCharType="end"/>
      </w:r>
    </w:p>
    <w:p w14:paraId="0E95FEA4" w14:textId="77777777" w:rsidR="00796E0E" w:rsidRDefault="00000000">
      <w:pPr>
        <w:spacing w:before="210" w:after="0" w:line="360" w:lineRule="auto"/>
      </w:pPr>
      <w:r>
        <w:rPr>
          <w:noProof/>
        </w:rPr>
      </w:r>
      <w:r>
        <w:rPr>
          <w:noProof/>
        </w:rPr>
        <w:pict w14:anchorId="0E95FFBB">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EA5" w14:textId="77777777" w:rsidR="00796E0E" w:rsidRDefault="00000000">
      <w:pPr>
        <w:spacing w:before="315" w:after="105" w:line="360" w:lineRule="auto"/>
        <w:ind w:left="-30"/>
      </w:pPr>
      <w:bookmarkStart w:id="6" w:name="street_reopening_when_the_assumpt_b3fc19"/>
      <w:r>
        <w:rPr>
          <w:rFonts w:ascii="source serif 4" w:eastAsia="source serif 4" w:hAnsi="source serif 4" w:cs="source serif 4"/>
          <w:b/>
          <w:color w:val="000000"/>
          <w:sz w:val="24"/>
        </w:rPr>
        <w:t>Street reopening: when the assumption holds and when it does not</w:t>
      </w:r>
      <w:bookmarkEnd w:id="6"/>
    </w:p>
    <w:p w14:paraId="0E95FEA6" w14:textId="77777777" w:rsidR="00796E0E" w:rsidRDefault="00000000">
      <w:pPr>
        <w:spacing w:after="210" w:line="360" w:lineRule="auto"/>
      </w:pPr>
      <w:r>
        <w:rPr>
          <w:rFonts w:ascii="source serif 4" w:eastAsia="source serif 4" w:hAnsi="source serif 4" w:cs="source serif 4"/>
          <w:color w:val="000000"/>
        </w:rPr>
        <w:t xml:space="preserve">German LV grid expansion studies and planning guidelines consistently treat civil engineering (Tiefbau) and street reopening as a dominant cost component for </w:t>
      </w:r>
      <w:r>
        <w:rPr>
          <w:rFonts w:ascii="source serif 4" w:eastAsia="source serif 4" w:hAnsi="source serif 4" w:cs="source serif 4"/>
          <w:i/>
          <w:color w:val="000000"/>
        </w:rPr>
        <w:t>initial</w:t>
      </w:r>
      <w:r>
        <w:rPr>
          <w:rFonts w:ascii="source serif 4" w:eastAsia="source serif 4" w:hAnsi="source serif 4" w:cs="source serif 4"/>
          <w:color w:val="000000"/>
        </w:rPr>
        <w:t xml:space="preserve"> cable reinforcement, but not for subsequent parallel cables laid in prepared ducts.</w:t>
      </w:r>
      <w:bookmarkStart w:id="7" w:name="fnref2_2"/>
      <w:bookmarkEnd w:id="7"/>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8" w:name="fnref3_1"/>
      <w:bookmarkEnd w:id="8"/>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EA7" w14:textId="77777777" w:rsidR="00796E0E" w:rsidRDefault="00000000">
      <w:pPr>
        <w:numPr>
          <w:ilvl w:val="0"/>
          <w:numId w:val="1"/>
        </w:numPr>
        <w:spacing w:after="210" w:line="360" w:lineRule="auto"/>
      </w:pPr>
      <w:r>
        <w:rPr>
          <w:rFonts w:ascii="source serif 4" w:eastAsia="source serif 4" w:hAnsi="source serif 4" w:cs="source serif 4"/>
          <w:b/>
          <w:color w:val="000000"/>
        </w:rPr>
        <w:t>WEI202 / FfE GridSim expansion model</w:t>
      </w:r>
      <w:r>
        <w:rPr>
          <w:rFonts w:ascii="source serif 4" w:eastAsia="source serif 4" w:hAnsi="source serif 4" w:cs="source serif 4"/>
          <w:color w:val="000000"/>
        </w:rPr>
        <w:br/>
        <w:t xml:space="preserve">In the LV grid expansion module, parallel cables are added recursively until overloads disappear; </w:t>
      </w:r>
      <w:r>
        <w:rPr>
          <w:rFonts w:ascii="source serif 4" w:eastAsia="source serif 4" w:hAnsi="source serif 4" w:cs="source serif 4"/>
          <w:color w:val="000000"/>
        </w:rPr>
        <w:lastRenderedPageBreak/>
        <w:t>cost calculation explicitly distinguishes between “initial installation of a parallel line” (including excavation) and “further parallel lines.”</w:t>
      </w:r>
      <w:bookmarkStart w:id="9" w:name="fnref1_1"/>
      <w:bookmarkEnd w:id="9"/>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r>
        <w:rPr>
          <w:rFonts w:ascii="source serif 4" w:eastAsia="source serif 4" w:hAnsi="source serif 4" w:cs="source serif 4"/>
          <w:color w:val="000000"/>
        </w:rPr>
        <w:br/>
        <w:t xml:space="preserve">The model assumes that when the first reinforcement is built, </w:t>
      </w:r>
      <w:r>
        <w:rPr>
          <w:rFonts w:ascii="source serif 4" w:eastAsia="source serif 4" w:hAnsi="source serif 4" w:cs="source serif 4"/>
          <w:i/>
          <w:color w:val="000000"/>
        </w:rPr>
        <w:t>additional empty pipes (Leerrohre)</w:t>
      </w:r>
      <w:r>
        <w:rPr>
          <w:rFonts w:ascii="source serif 4" w:eastAsia="source serif 4" w:hAnsi="source serif 4" w:cs="source serif 4"/>
          <w:color w:val="000000"/>
        </w:rPr>
        <w:t xml:space="preserve"> are laid alongside the cable so that later cable additions incur mainly material costs, not renewed Tiefbau.</w:t>
      </w:r>
      <w:bookmarkStart w:id="10" w:name="fnref1_2"/>
      <w:bookmarkEnd w:id="10"/>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EA8" w14:textId="77777777" w:rsidR="00796E0E" w:rsidRDefault="00000000">
      <w:pPr>
        <w:numPr>
          <w:ilvl w:val="0"/>
          <w:numId w:val="1"/>
        </w:numPr>
        <w:spacing w:after="210" w:line="360" w:lineRule="auto"/>
      </w:pPr>
      <w:r>
        <w:rPr>
          <w:rFonts w:ascii="source serif 4" w:eastAsia="source serif 4" w:hAnsi="source serif 4" w:cs="source serif 4"/>
          <w:b/>
          <w:color w:val="000000"/>
        </w:rPr>
        <w:t>Urban planning guidelines (Wintzek 2021)</w:t>
      </w:r>
      <w:r>
        <w:rPr>
          <w:rFonts w:ascii="source serif 4" w:eastAsia="source serif 4" w:hAnsi="source serif 4" w:cs="source serif 4"/>
          <w:color w:val="000000"/>
        </w:rPr>
        <w:br/>
        <w:t xml:space="preserve">For urban LV grids, Wintzek explicitly notes that “inner‑städtische Netzbereiche” cannot have streets “in kurzer Zeit beliebig großflächig aufgebrochen,” and that this limitation is one reason to use dynamic load management to </w:t>
      </w:r>
      <w:r>
        <w:rPr>
          <w:rFonts w:ascii="source serif 4" w:eastAsia="source serif 4" w:hAnsi="source serif 4" w:cs="source serif 4"/>
          <w:i/>
          <w:color w:val="000000"/>
        </w:rPr>
        <w:t>delay</w:t>
      </w:r>
      <w:r>
        <w:rPr>
          <w:rFonts w:ascii="source serif 4" w:eastAsia="source serif 4" w:hAnsi="source serif 4" w:cs="source serif 4"/>
          <w:color w:val="000000"/>
        </w:rPr>
        <w:t xml:space="preserve"> conventional reinforcement.</w:t>
      </w:r>
      <w:bookmarkStart w:id="11" w:name="fnref2_3"/>
      <w:bookmarkEnd w:id="11"/>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r>
        <w:rPr>
          <w:rFonts w:ascii="source serif 4" w:eastAsia="source serif 4" w:hAnsi="source serif 4" w:cs="source serif 4"/>
          <w:color w:val="000000"/>
        </w:rPr>
        <w:br/>
        <w:t>This confirms that reopening streets is unavoidable for many initial reinforcements, is a scheduling bottleneck, and cannot be ignored in realistic cost or timing assessments.</w:t>
      </w:r>
      <w:bookmarkStart w:id="12" w:name="fnref2_4"/>
      <w:bookmarkEnd w:id="12"/>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EA9" w14:textId="77777777" w:rsidR="00796E0E" w:rsidRDefault="00000000">
      <w:pPr>
        <w:numPr>
          <w:ilvl w:val="0"/>
          <w:numId w:val="1"/>
        </w:numPr>
        <w:spacing w:after="210" w:line="360" w:lineRule="auto"/>
      </w:pPr>
      <w:r>
        <w:rPr>
          <w:rFonts w:ascii="source serif 4" w:eastAsia="source serif 4" w:hAnsi="source serif 4" w:cs="source serif 4"/>
          <w:b/>
          <w:color w:val="000000"/>
        </w:rPr>
        <w:t>Baden‑Württemberg Verteilnetzstudie (2017)</w:t>
      </w:r>
      <w:r>
        <w:rPr>
          <w:rFonts w:ascii="source serif 4" w:eastAsia="source serif 4" w:hAnsi="source serif 4" w:cs="source serif 4"/>
          <w:color w:val="000000"/>
        </w:rPr>
        <w:br/>
        <w:t>The cost tables for NS cables and stations include large components for “Erdarbeiten” and “Grund und Boden,” highlighting that civil works are a major driver of cable reinforcement cost, particularly in urban areas.</w:t>
      </w:r>
      <w:bookmarkStart w:id="13" w:name="fnref3_2"/>
      <w:bookmarkEnd w:id="13"/>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EAA" w14:textId="77777777" w:rsidR="00796E0E" w:rsidRDefault="00000000">
      <w:pPr>
        <w:spacing w:after="210" w:line="360" w:lineRule="auto"/>
      </w:pPr>
      <w:r>
        <w:rPr>
          <w:rFonts w:ascii="source serif 4" w:eastAsia="source serif 4" w:hAnsi="source serif 4" w:cs="source serif 4"/>
          <w:b/>
          <w:color w:val="000000"/>
        </w:rPr>
        <w:t>Implication for your model</w:t>
      </w:r>
    </w:p>
    <w:p w14:paraId="0E95FEAB" w14:textId="77777777" w:rsidR="00796E0E" w:rsidRDefault="00000000">
      <w:pPr>
        <w:numPr>
          <w:ilvl w:val="0"/>
          <w:numId w:val="2"/>
        </w:numPr>
        <w:spacing w:before="105" w:after="105" w:line="360" w:lineRule="auto"/>
      </w:pPr>
      <w:r>
        <w:rPr>
          <w:rFonts w:ascii="source serif 4" w:eastAsia="source serif 4" w:hAnsi="source serif 4" w:cs="source serif 4"/>
          <w:color w:val="000000"/>
        </w:rPr>
        <w:t xml:space="preserve">For </w:t>
      </w:r>
      <w:r>
        <w:rPr>
          <w:rFonts w:ascii="source serif 4" w:eastAsia="source serif 4" w:hAnsi="source serif 4" w:cs="source serif 4"/>
          <w:i/>
          <w:color w:val="000000"/>
        </w:rPr>
        <w:t>existing LV feeders built decades ago without spare ducts</w:t>
      </w:r>
      <w:r>
        <w:rPr>
          <w:rFonts w:ascii="source serif 4" w:eastAsia="source serif 4" w:hAnsi="source serif 4" w:cs="source serif 4"/>
          <w:color w:val="000000"/>
        </w:rPr>
        <w:t>, assuming “no street reopening” for the first reinforcement is not realistic – you will understate both cost and implementation constraints.</w:t>
      </w:r>
      <w:bookmarkStart w:id="14" w:name="fnref3_3"/>
      <w:bookmarkEnd w:id="14"/>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15" w:name="fnref2_5"/>
      <w:bookmarkEnd w:id="15"/>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EAC" w14:textId="77777777" w:rsidR="00796E0E" w:rsidRDefault="00000000">
      <w:pPr>
        <w:numPr>
          <w:ilvl w:val="0"/>
          <w:numId w:val="2"/>
        </w:numPr>
        <w:spacing w:before="105" w:after="105" w:line="360" w:lineRule="auto"/>
      </w:pPr>
      <w:r>
        <w:rPr>
          <w:rFonts w:ascii="source serif 4" w:eastAsia="source serif 4" w:hAnsi="source serif 4" w:cs="source serif 4"/>
          <w:color w:val="000000"/>
        </w:rPr>
        <w:t xml:space="preserve">For </w:t>
      </w:r>
      <w:r>
        <w:rPr>
          <w:rFonts w:ascii="source serif 4" w:eastAsia="source serif 4" w:hAnsi="source serif 4" w:cs="source serif 4"/>
          <w:i/>
          <w:color w:val="000000"/>
        </w:rPr>
        <w:t>later reinforcements of routes that already had empty pipes installed in a previous expansion</w:t>
      </w:r>
      <w:r>
        <w:rPr>
          <w:rFonts w:ascii="source serif 4" w:eastAsia="source serif 4" w:hAnsi="source serif 4" w:cs="source serif 4"/>
          <w:color w:val="000000"/>
        </w:rPr>
        <w:t>, your assumption is much closer to practice: those can often be modeled as “material + pulling cost” without major Tiefbau.</w:t>
      </w:r>
      <w:bookmarkStart w:id="16" w:name="fnref1_3"/>
      <w:bookmarkEnd w:id="16"/>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17" w:name="fnref2_6"/>
      <w:bookmarkEnd w:id="17"/>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EAD" w14:textId="77777777" w:rsidR="00796E0E" w:rsidRDefault="00000000">
      <w:pPr>
        <w:spacing w:after="210" w:line="360" w:lineRule="auto"/>
      </w:pPr>
      <w:r>
        <w:rPr>
          <w:rFonts w:ascii="source serif 4" w:eastAsia="source serif 4" w:hAnsi="source serif 4" w:cs="source serif 4"/>
          <w:color w:val="000000"/>
        </w:rPr>
        <w:t>A pragmatic refinement is therefore:</w:t>
      </w:r>
    </w:p>
    <w:p w14:paraId="0E95FEAE" w14:textId="77777777" w:rsidR="00796E0E" w:rsidRDefault="00000000">
      <w:pPr>
        <w:numPr>
          <w:ilvl w:val="0"/>
          <w:numId w:val="3"/>
        </w:numPr>
        <w:spacing w:before="105" w:after="105" w:line="360" w:lineRule="auto"/>
      </w:pPr>
      <w:r>
        <w:rPr>
          <w:rFonts w:ascii="source serif 4" w:eastAsia="source serif 4" w:hAnsi="source serif 4" w:cs="source serif 4"/>
          <w:b/>
          <w:color w:val="000000"/>
        </w:rPr>
        <w:t>Model first reinforcement per route</w:t>
      </w:r>
      <w:r>
        <w:rPr>
          <w:rFonts w:ascii="source serif 4" w:eastAsia="source serif 4" w:hAnsi="source serif 4" w:cs="source serif 4"/>
          <w:color w:val="000000"/>
        </w:rPr>
        <w:t xml:space="preserve"> with full trenching / street reopening costs.</w:t>
      </w:r>
    </w:p>
    <w:p w14:paraId="0E95FEAF" w14:textId="77777777" w:rsidR="00796E0E" w:rsidRDefault="00000000">
      <w:pPr>
        <w:numPr>
          <w:ilvl w:val="0"/>
          <w:numId w:val="3"/>
        </w:numPr>
        <w:spacing w:before="105" w:after="105" w:line="360" w:lineRule="auto"/>
      </w:pPr>
      <w:r>
        <w:rPr>
          <w:rFonts w:ascii="source serif 4" w:eastAsia="source serif 4" w:hAnsi="source serif 4" w:cs="source serif 4"/>
          <w:b/>
          <w:color w:val="000000"/>
        </w:rPr>
        <w:t>Model subsequent parallel cables</w:t>
      </w:r>
      <w:r>
        <w:rPr>
          <w:rFonts w:ascii="source serif 4" w:eastAsia="source serif 4" w:hAnsi="source serif 4" w:cs="source serif 4"/>
          <w:color w:val="000000"/>
        </w:rPr>
        <w:t xml:space="preserve"> on that route using an “empty‑pipe” cost level (significantly lower per meter).</w:t>
      </w:r>
    </w:p>
    <w:p w14:paraId="0E95FEB0" w14:textId="77777777" w:rsidR="00796E0E" w:rsidRDefault="00000000">
      <w:pPr>
        <w:spacing w:after="210" w:line="360" w:lineRule="auto"/>
      </w:pPr>
      <w:r>
        <w:rPr>
          <w:rFonts w:ascii="source serif 4" w:eastAsia="source serif 4" w:hAnsi="source serif 4" w:cs="source serif 4"/>
          <w:color w:val="000000"/>
        </w:rPr>
        <w:t>This matches the cost logic in WEI202 and Wintzek’s annex and keeps your heuristic realistic without tracking street‑by‑street details.</w:t>
      </w:r>
      <w:bookmarkStart w:id="18" w:name="fnref2_7"/>
      <w:bookmarkEnd w:id="18"/>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19" w:name="fnref1_4"/>
      <w:bookmarkEnd w:id="19"/>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EB1" w14:textId="77777777" w:rsidR="00796E0E" w:rsidRDefault="00000000">
      <w:pPr>
        <w:spacing w:before="210" w:after="0" w:line="360" w:lineRule="auto"/>
      </w:pPr>
      <w:r>
        <w:rPr>
          <w:noProof/>
        </w:rPr>
      </w:r>
      <w:r>
        <w:rPr>
          <w:noProof/>
        </w:rPr>
        <w:pict w14:anchorId="0E95FFBD">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EB2" w14:textId="77777777" w:rsidR="00796E0E" w:rsidRDefault="00000000">
      <w:pPr>
        <w:spacing w:before="315" w:after="105" w:line="360" w:lineRule="auto"/>
        <w:ind w:left="-30"/>
      </w:pPr>
      <w:bookmarkStart w:id="20" w:name="installation_practices_and_empty_643db8"/>
      <w:r>
        <w:rPr>
          <w:rFonts w:ascii="source serif 4" w:eastAsia="source serif 4" w:hAnsi="source serif 4" w:cs="source serif 4"/>
          <w:b/>
          <w:color w:val="000000"/>
          <w:sz w:val="24"/>
        </w:rPr>
        <w:t>Installation practices and empty‑pipe strategies in German LV grids</w:t>
      </w:r>
      <w:bookmarkEnd w:id="20"/>
    </w:p>
    <w:p w14:paraId="0E95FEB3" w14:textId="77777777" w:rsidR="00796E0E" w:rsidRDefault="00000000">
      <w:pPr>
        <w:spacing w:after="210" w:line="360" w:lineRule="auto"/>
      </w:pPr>
      <w:r>
        <w:rPr>
          <w:rFonts w:ascii="source serif 4" w:eastAsia="source serif 4" w:hAnsi="source serif 4" w:cs="source serif 4"/>
          <w:color w:val="000000"/>
        </w:rPr>
        <w:lastRenderedPageBreak/>
        <w:t>The main technical references in your package describe LV expansion in a way that aligns well with the physical logic behind your heuristic model.</w:t>
      </w:r>
    </w:p>
    <w:p w14:paraId="0E95FEB4" w14:textId="77777777" w:rsidR="00796E0E" w:rsidRDefault="00000000">
      <w:pPr>
        <w:numPr>
          <w:ilvl w:val="0"/>
          <w:numId w:val="4"/>
        </w:numPr>
        <w:spacing w:after="210" w:line="360" w:lineRule="auto"/>
      </w:pPr>
      <w:r>
        <w:rPr>
          <w:rFonts w:ascii="source serif 4" w:eastAsia="source serif 4" w:hAnsi="source serif 4" w:cs="source serif 4"/>
          <w:b/>
          <w:color w:val="000000"/>
        </w:rPr>
        <w:t>GridSim / WEI202 dissertation (2024)</w:t>
      </w:r>
      <w:r>
        <w:rPr>
          <w:rFonts w:ascii="source serif 4" w:eastAsia="source serif 4" w:hAnsi="source serif 4" w:cs="source serif 4"/>
          <w:color w:val="000000"/>
        </w:rPr>
        <w:br/>
        <w:t>LV reinforcement is modeled as:</w:t>
      </w:r>
    </w:p>
    <w:p w14:paraId="0E95FEB5" w14:textId="77777777" w:rsidR="00796E0E" w:rsidRDefault="00000000">
      <w:pPr>
        <w:numPr>
          <w:ilvl w:val="1"/>
          <w:numId w:val="4"/>
        </w:numPr>
        <w:spacing w:before="105" w:after="105" w:line="360" w:lineRule="auto"/>
      </w:pPr>
      <w:r>
        <w:rPr>
          <w:rFonts w:ascii="source serif 4" w:eastAsia="source serif 4" w:hAnsi="source serif 4" w:cs="source serif 4"/>
          <w:color w:val="000000"/>
        </w:rPr>
        <w:t>Check transformer overload; if necessary, replace with next standard size (250–1000 kVA), and if still overloaded, add a new station.</w:t>
      </w:r>
      <w:bookmarkStart w:id="21" w:name="fnref1_5"/>
      <w:bookmarkEnd w:id="21"/>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EB6" w14:textId="77777777" w:rsidR="00796E0E" w:rsidRDefault="00000000">
      <w:pPr>
        <w:numPr>
          <w:ilvl w:val="1"/>
          <w:numId w:val="4"/>
        </w:numPr>
        <w:spacing w:before="105" w:after="105" w:line="360" w:lineRule="auto"/>
      </w:pPr>
      <w:r>
        <w:rPr>
          <w:rFonts w:ascii="source serif 4" w:eastAsia="source serif 4" w:hAnsi="source serif 4" w:cs="source serif 4"/>
          <w:color w:val="000000"/>
        </w:rPr>
        <w:t>Reinforce overloaded LV lines with parallel cables, using voltage‑band compliance as an absolute criterion.</w:t>
      </w:r>
      <w:bookmarkStart w:id="22" w:name="fnref1_6"/>
      <w:bookmarkEnd w:id="22"/>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EB7" w14:textId="77777777" w:rsidR="00796E0E" w:rsidRDefault="00000000">
      <w:pPr>
        <w:numPr>
          <w:ilvl w:val="1"/>
          <w:numId w:val="4"/>
        </w:numPr>
        <w:spacing w:before="105" w:after="105" w:line="360" w:lineRule="auto"/>
      </w:pPr>
      <w:r>
        <w:rPr>
          <w:rFonts w:ascii="source serif 4" w:eastAsia="source serif 4" w:hAnsi="source serif 4" w:cs="source serif 4"/>
          <w:color w:val="000000"/>
        </w:rPr>
        <w:t>Distinguish cost between first and subsequent parallel lines based on the assumption that “zusätzliche Leerrohre” are laid at first reinforcement, so only the first parallel cable bears the high excavation cost.</w:t>
      </w:r>
      <w:bookmarkStart w:id="23" w:name="fnref1_7"/>
      <w:bookmarkEnd w:id="23"/>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EB8" w14:textId="77777777" w:rsidR="00796E0E" w:rsidRDefault="00000000">
      <w:pPr>
        <w:numPr>
          <w:ilvl w:val="0"/>
          <w:numId w:val="4"/>
        </w:numPr>
        <w:spacing w:after="210" w:line="360" w:lineRule="auto"/>
      </w:pPr>
      <w:r>
        <w:rPr>
          <w:rFonts w:ascii="source serif 4" w:eastAsia="source serif 4" w:hAnsi="source serif 4" w:cs="source serif 4"/>
          <w:b/>
          <w:color w:val="000000"/>
        </w:rPr>
        <w:t>Urban LV guideline “PuBStadt” (Wintzek 2021)</w:t>
      </w:r>
      <w:r>
        <w:rPr>
          <w:rFonts w:ascii="source serif 4" w:eastAsia="source serif 4" w:hAnsi="source serif 4" w:cs="source serif 4"/>
          <w:color w:val="000000"/>
        </w:rPr>
        <w:br/>
        <w:t>Wintzek recommends, for strategic planning, to:</w:t>
      </w:r>
    </w:p>
    <w:p w14:paraId="0E95FEB9" w14:textId="77777777" w:rsidR="00796E0E" w:rsidRDefault="00000000">
      <w:pPr>
        <w:numPr>
          <w:ilvl w:val="1"/>
          <w:numId w:val="4"/>
        </w:numPr>
        <w:spacing w:before="105" w:after="105" w:line="360" w:lineRule="auto"/>
      </w:pPr>
      <w:r>
        <w:rPr>
          <w:rFonts w:ascii="source serif 4" w:eastAsia="source serif 4" w:hAnsi="source serif 4" w:cs="source serif 4"/>
          <w:color w:val="000000"/>
        </w:rPr>
        <w:t>Introduce a second standard NS cable cross‑section (e.g. 240 mm² Al) so that, where a parallel line is undesirable, the existing cable can be replaced once with a larger cross‑section in the same trench.</w:t>
      </w:r>
      <w:bookmarkStart w:id="24" w:name="fnref2_8"/>
      <w:bookmarkEnd w:id="24"/>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EBA" w14:textId="77777777" w:rsidR="00796E0E" w:rsidRDefault="00000000">
      <w:pPr>
        <w:numPr>
          <w:ilvl w:val="1"/>
          <w:numId w:val="4"/>
        </w:numPr>
        <w:spacing w:before="105" w:after="105" w:line="360" w:lineRule="auto"/>
      </w:pPr>
      <w:r>
        <w:rPr>
          <w:rFonts w:ascii="source serif 4" w:eastAsia="source serif 4" w:hAnsi="source serif 4" w:cs="source serif 4"/>
          <w:color w:val="000000"/>
        </w:rPr>
        <w:t>Lay empty pipes in parallel when trenches are opened, to accommodate later cable additions at lower cost.</w:t>
      </w:r>
      <w:bookmarkStart w:id="25" w:name="fnref2_9"/>
      <w:bookmarkEnd w:id="25"/>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EBB" w14:textId="77777777" w:rsidR="00796E0E" w:rsidRDefault="00000000">
      <w:pPr>
        <w:numPr>
          <w:ilvl w:val="0"/>
          <w:numId w:val="4"/>
        </w:numPr>
        <w:spacing w:after="210" w:line="360" w:lineRule="auto"/>
      </w:pPr>
      <w:r>
        <w:rPr>
          <w:rFonts w:ascii="source serif 4" w:eastAsia="source serif 4" w:hAnsi="source serif 4" w:cs="source serif 4"/>
          <w:b/>
          <w:color w:val="000000"/>
        </w:rPr>
        <w:t>Verteilnetzstudie Baden‑Württemberg</w:t>
      </w:r>
      <w:r>
        <w:rPr>
          <w:rFonts w:ascii="source serif 4" w:eastAsia="source serif 4" w:hAnsi="source serif 4" w:cs="source serif 4"/>
          <w:color w:val="000000"/>
        </w:rPr>
        <w:br/>
        <w:t>Standard expansion variants include: new LV cable sections, transformer replacement, installation of regelbare Ortsnetztransformatoren (rONT), and in MS grid, use of MS‑Spannungsregler.</w:t>
      </w:r>
      <w:bookmarkStart w:id="26" w:name="fnref3_4"/>
      <w:bookmarkEnd w:id="26"/>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r>
        <w:rPr>
          <w:rFonts w:ascii="source serif 4" w:eastAsia="source serif 4" w:hAnsi="source serif 4" w:cs="source serif 4"/>
          <w:color w:val="000000"/>
        </w:rPr>
        <w:br/>
        <w:t>The study’s methodology is consistent with your approach: use existing settlement structures and grid routes, reinforce via cables and transformers, and only in extreme scenarios consider entirely new grid areas.</w:t>
      </w:r>
      <w:bookmarkStart w:id="27" w:name="fnref3_5"/>
      <w:bookmarkEnd w:id="27"/>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EBC" w14:textId="77777777" w:rsidR="00796E0E" w:rsidRDefault="00000000">
      <w:pPr>
        <w:spacing w:after="210" w:line="360" w:lineRule="auto"/>
      </w:pPr>
      <w:r>
        <w:rPr>
          <w:rFonts w:ascii="source serif 4" w:eastAsia="source serif 4" w:hAnsi="source serif 4" w:cs="source serif 4"/>
          <w:color w:val="000000"/>
        </w:rPr>
        <w:t xml:space="preserve">Taken together, these sources support the </w:t>
      </w:r>
      <w:r>
        <w:rPr>
          <w:rFonts w:ascii="source serif 4" w:eastAsia="source serif 4" w:hAnsi="source serif 4" w:cs="source serif 4"/>
          <w:i/>
          <w:color w:val="000000"/>
        </w:rPr>
        <w:t>structure</w:t>
      </w:r>
      <w:r>
        <w:rPr>
          <w:rFonts w:ascii="source serif 4" w:eastAsia="source serif 4" w:hAnsi="source serif 4" w:cs="source serif 4"/>
          <w:color w:val="000000"/>
        </w:rPr>
        <w:t xml:space="preserve"> of your model (reinforcement within existing settlements through extra cables and transformers) but clearly show that some reopening of streets is structurally unavoidable unless you explicitly model the “first reinforcement” as already completed.</w:t>
      </w:r>
      <w:bookmarkStart w:id="28" w:name="fnref3_6"/>
      <w:bookmarkEnd w:id="28"/>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29" w:name="fnref2_10"/>
      <w:bookmarkEnd w:id="29"/>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30" w:name="fnref1_8"/>
      <w:bookmarkEnd w:id="30"/>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EBD" w14:textId="77777777" w:rsidR="00796E0E" w:rsidRDefault="00000000">
      <w:pPr>
        <w:spacing w:before="210" w:after="0" w:line="360" w:lineRule="auto"/>
      </w:pPr>
      <w:r>
        <w:rPr>
          <w:noProof/>
        </w:rPr>
      </w:r>
      <w:r>
        <w:rPr>
          <w:noProof/>
        </w:rPr>
        <w:pict w14:anchorId="0E95FFBF">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EBE" w14:textId="77777777" w:rsidR="00796E0E" w:rsidRDefault="00000000">
      <w:pPr>
        <w:spacing w:before="315" w:after="105" w:line="360" w:lineRule="auto"/>
        <w:ind w:left="-30"/>
      </w:pPr>
      <w:bookmarkStart w:id="31" w:name="benchmark_unit_costs_for_lv_grid_cfea16"/>
      <w:r>
        <w:rPr>
          <w:rFonts w:ascii="source serif 4" w:eastAsia="source serif 4" w:hAnsi="source serif 4" w:cs="source serif 4"/>
          <w:b/>
          <w:color w:val="000000"/>
          <w:sz w:val="24"/>
        </w:rPr>
        <w:t>Benchmark unit costs for LV grid reinforcement</w:t>
      </w:r>
      <w:bookmarkEnd w:id="31"/>
    </w:p>
    <w:p w14:paraId="0E95FEBF" w14:textId="77777777" w:rsidR="00796E0E" w:rsidRDefault="00000000">
      <w:pPr>
        <w:spacing w:after="210" w:line="360" w:lineRule="auto"/>
      </w:pPr>
      <w:r>
        <w:rPr>
          <w:rFonts w:ascii="source serif 4" w:eastAsia="source serif 4" w:hAnsi="source serif 4" w:cs="source serif 4"/>
          <w:color w:val="000000"/>
        </w:rPr>
        <w:lastRenderedPageBreak/>
        <w:t>Below is a consolidation of unit cost benchmarks from the Baden‑Württemberg Verteilnetzstudie, Wintzek’s PuBStadt guideline, and related annexes.</w:t>
      </w:r>
      <w:bookmarkStart w:id="32" w:name="fnref3_7"/>
      <w:bookmarkEnd w:id="32"/>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33" w:name="fnref2_11"/>
      <w:bookmarkEnd w:id="33"/>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r>
        <w:rPr>
          <w:rFonts w:ascii="source serif 4" w:eastAsia="source serif 4" w:hAnsi="source serif 4" w:cs="source serif 4"/>
          <w:color w:val="000000"/>
        </w:rPr>
        <w:br/>
        <w:t>Values are indicative ranges; you can use them to validate or adjust your heuristic numbers.</w:t>
      </w:r>
    </w:p>
    <w:p w14:paraId="0E95FEC0" w14:textId="77777777" w:rsidR="00796E0E" w:rsidRDefault="00000000">
      <w:pPr>
        <w:spacing w:before="315" w:after="105" w:line="360" w:lineRule="auto"/>
        <w:ind w:left="-30"/>
      </w:pPr>
      <w:bookmarkStart w:id="34" w:name="lv_components_ns_level"/>
      <w:r>
        <w:rPr>
          <w:rFonts w:ascii="source serif 4" w:eastAsia="source serif 4" w:hAnsi="source serif 4" w:cs="source serif 4"/>
          <w:b/>
          <w:color w:val="000000"/>
          <w:sz w:val="24"/>
        </w:rPr>
        <w:t>LV components (NS level)</w:t>
      </w:r>
      <w:bookmarkEnd w:id="34"/>
    </w:p>
    <w:p w14:paraId="0E95FEC1" w14:textId="77777777" w:rsidR="00796E0E" w:rsidRDefault="00000000">
      <w:pPr>
        <w:spacing w:after="210" w:line="360" w:lineRule="auto"/>
      </w:pPr>
      <w:r>
        <w:rPr>
          <w:rFonts w:ascii="source serif 4" w:eastAsia="source serif 4" w:hAnsi="source serif 4" w:cs="source serif 4"/>
          <w:b/>
          <w:color w:val="000000"/>
        </w:rPr>
        <w:t>Table 1 – NS‑level reinforcement cost benchmarks (per asset)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84"/>
        <w:gridCol w:w="1369"/>
        <w:gridCol w:w="3107"/>
        <w:gridCol w:w="2144"/>
      </w:tblGrid>
      <w:tr w:rsidR="00796E0E" w14:paraId="0E95FE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C2" w14:textId="77777777" w:rsidR="00796E0E" w:rsidRDefault="00000000">
            <w:pPr>
              <w:spacing w:line="360" w:lineRule="auto"/>
            </w:pPr>
            <w:r>
              <w:rPr>
                <w:rFonts w:ascii="source sans 3" w:eastAsia="source sans 3" w:hAnsi="source sans 3" w:cs="source sans 3"/>
                <w:color w:val="000000"/>
                <w:sz w:val="17"/>
              </w:rPr>
              <w:t>Asset / measure</w:t>
            </w:r>
          </w:p>
        </w:tc>
        <w:tc>
          <w:tcPr>
            <w:tcW w:w="0" w:type="auto"/>
            <w:tcBorders>
              <w:top w:val="single" w:sz="1" w:space="0" w:color="000000"/>
              <w:bottom w:val="single" w:sz="1" w:space="0" w:color="000000"/>
              <w:right w:val="single" w:sz="1" w:space="0" w:color="000000"/>
            </w:tcBorders>
          </w:tcPr>
          <w:p w14:paraId="0E95FEC3" w14:textId="77777777" w:rsidR="00796E0E" w:rsidRDefault="00000000">
            <w:pPr>
              <w:spacing w:line="360" w:lineRule="auto"/>
            </w:pPr>
            <w:r>
              <w:rPr>
                <w:rFonts w:ascii="source sans 3" w:eastAsia="source sans 3" w:hAnsi="source sans 3" w:cs="source sans 3"/>
                <w:color w:val="000000"/>
                <w:sz w:val="17"/>
              </w:rPr>
              <w:t>Settlement type</w:t>
            </w:r>
          </w:p>
        </w:tc>
        <w:tc>
          <w:tcPr>
            <w:tcW w:w="0" w:type="auto"/>
            <w:tcBorders>
              <w:top w:val="single" w:sz="1" w:space="0" w:color="000000"/>
              <w:bottom w:val="single" w:sz="1" w:space="0" w:color="000000"/>
              <w:right w:val="single" w:sz="1" w:space="0" w:color="000000"/>
            </w:tcBorders>
          </w:tcPr>
          <w:p w14:paraId="0E95FEC4" w14:textId="77777777" w:rsidR="00796E0E" w:rsidRDefault="00000000">
            <w:pPr>
              <w:spacing w:line="360" w:lineRule="auto"/>
            </w:pPr>
            <w:r>
              <w:rPr>
                <w:rFonts w:ascii="source sans 3" w:eastAsia="source sans 3" w:hAnsi="source sans 3" w:cs="source sans 3"/>
                <w:color w:val="000000"/>
                <w:sz w:val="17"/>
              </w:rPr>
              <w:t>Benchmark cost (order of magnitude)</w:t>
            </w:r>
          </w:p>
        </w:tc>
        <w:tc>
          <w:tcPr>
            <w:tcW w:w="0" w:type="auto"/>
            <w:tcBorders>
              <w:top w:val="single" w:sz="1" w:space="0" w:color="000000"/>
              <w:bottom w:val="single" w:sz="1" w:space="0" w:color="000000"/>
            </w:tcBorders>
          </w:tcPr>
          <w:p w14:paraId="0E95FEC5" w14:textId="77777777" w:rsidR="00796E0E" w:rsidRDefault="00000000">
            <w:pPr>
              <w:spacing w:line="360" w:lineRule="auto"/>
            </w:pPr>
            <w:r>
              <w:rPr>
                <w:rFonts w:ascii="source sans 3" w:eastAsia="source sans 3" w:hAnsi="source sans 3" w:cs="source sans 3"/>
                <w:color w:val="000000"/>
                <w:sz w:val="17"/>
              </w:rPr>
              <w:t>Source</w:t>
            </w:r>
          </w:p>
        </w:tc>
      </w:tr>
      <w:tr w:rsidR="00796E0E" w14:paraId="0E95FE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C7" w14:textId="77777777" w:rsidR="00796E0E" w:rsidRDefault="00000000">
            <w:pPr>
              <w:spacing w:line="360" w:lineRule="auto"/>
            </w:pPr>
            <w:r>
              <w:rPr>
                <w:rFonts w:ascii="source sans 3" w:eastAsia="source sans 3" w:hAnsi="source sans 3" w:cs="source sans 3"/>
                <w:color w:val="000000"/>
                <w:sz w:val="17"/>
              </w:rPr>
              <w:t>NS cable, first installation / replacement</w:t>
            </w:r>
          </w:p>
        </w:tc>
        <w:tc>
          <w:tcPr>
            <w:tcW w:w="0" w:type="auto"/>
            <w:tcBorders>
              <w:top w:val="single" w:sz="1" w:space="0" w:color="000000"/>
              <w:bottom w:val="single" w:sz="1" w:space="0" w:color="000000"/>
              <w:right w:val="single" w:sz="1" w:space="0" w:color="000000"/>
            </w:tcBorders>
          </w:tcPr>
          <w:p w14:paraId="0E95FEC8" w14:textId="77777777" w:rsidR="00796E0E" w:rsidRDefault="00000000">
            <w:pPr>
              <w:spacing w:line="360" w:lineRule="auto"/>
            </w:pPr>
            <w:r>
              <w:rPr>
                <w:rFonts w:ascii="source sans 3" w:eastAsia="source sans 3" w:hAnsi="source sans 3" w:cs="source sans 3"/>
                <w:color w:val="000000"/>
                <w:sz w:val="17"/>
              </w:rPr>
              <w:t>Rural</w:t>
            </w:r>
          </w:p>
        </w:tc>
        <w:tc>
          <w:tcPr>
            <w:tcW w:w="0" w:type="auto"/>
            <w:tcBorders>
              <w:top w:val="single" w:sz="1" w:space="0" w:color="000000"/>
              <w:bottom w:val="single" w:sz="1" w:space="0" w:color="000000"/>
              <w:right w:val="single" w:sz="1" w:space="0" w:color="000000"/>
            </w:tcBorders>
          </w:tcPr>
          <w:p w14:paraId="0E95FEC9" w14:textId="77777777" w:rsidR="00796E0E" w:rsidRDefault="00000000">
            <w:pPr>
              <w:spacing w:line="360" w:lineRule="auto"/>
            </w:pPr>
            <w:r>
              <w:rPr>
                <w:rFonts w:ascii="source sans 3" w:eastAsia="source sans 3" w:hAnsi="source sans 3" w:cs="source sans 3"/>
                <w:color w:val="000000"/>
                <w:sz w:val="17"/>
              </w:rPr>
              <w:t>~80 000 €/km (incl. earthworks)</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ECA" w14:textId="77777777" w:rsidR="00796E0E" w:rsidRDefault="00000000">
            <w:pPr>
              <w:spacing w:line="360" w:lineRule="auto"/>
            </w:pPr>
            <w:r>
              <w:rPr>
                <w:rFonts w:ascii="source sans 3" w:eastAsia="source sans 3" w:hAnsi="source sans 3" w:cs="source sans 3"/>
                <w:color w:val="000000"/>
                <w:sz w:val="17"/>
              </w:rPr>
              <w:t>BW‑study Tab. 7.1</w:t>
            </w:r>
            <w:hyperlink w:anchor="fn3">
              <w:r>
                <w:rPr>
                  <w:rFonts w:ascii="source sans 3" w:eastAsia="source sans 3" w:hAnsi="source sans 3" w:cs="source sans 3"/>
                  <w:sz w:val="17"/>
                  <w:u w:val="single"/>
                  <w:vertAlign w:val="superscript"/>
                </w:rPr>
                <w:t>[3]</w:t>
              </w:r>
            </w:hyperlink>
          </w:p>
        </w:tc>
      </w:tr>
      <w:tr w:rsidR="00796E0E" w14:paraId="0E95FE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CC" w14:textId="77777777" w:rsidR="00796E0E" w:rsidRDefault="00796E0E"/>
        </w:tc>
        <w:tc>
          <w:tcPr>
            <w:tcW w:w="0" w:type="auto"/>
            <w:tcBorders>
              <w:top w:val="single" w:sz="1" w:space="0" w:color="000000"/>
              <w:bottom w:val="single" w:sz="1" w:space="0" w:color="000000"/>
              <w:right w:val="single" w:sz="1" w:space="0" w:color="000000"/>
            </w:tcBorders>
          </w:tcPr>
          <w:p w14:paraId="0E95FECD" w14:textId="77777777" w:rsidR="00796E0E" w:rsidRDefault="00000000">
            <w:pPr>
              <w:spacing w:line="360" w:lineRule="auto"/>
            </w:pPr>
            <w:r>
              <w:rPr>
                <w:rFonts w:ascii="source sans 3" w:eastAsia="source sans 3" w:hAnsi="source sans 3" w:cs="source sans 3"/>
                <w:color w:val="000000"/>
                <w:sz w:val="17"/>
              </w:rPr>
              <w:t>Semi‑urban</w:t>
            </w:r>
          </w:p>
        </w:tc>
        <w:tc>
          <w:tcPr>
            <w:tcW w:w="0" w:type="auto"/>
            <w:tcBorders>
              <w:top w:val="single" w:sz="1" w:space="0" w:color="000000"/>
              <w:bottom w:val="single" w:sz="1" w:space="0" w:color="000000"/>
              <w:right w:val="single" w:sz="1" w:space="0" w:color="000000"/>
            </w:tcBorders>
          </w:tcPr>
          <w:p w14:paraId="0E95FECE" w14:textId="77777777" w:rsidR="00796E0E" w:rsidRDefault="00000000">
            <w:pPr>
              <w:spacing w:line="360" w:lineRule="auto"/>
            </w:pPr>
            <w:r>
              <w:rPr>
                <w:rFonts w:ascii="source sans 3" w:eastAsia="source sans 3" w:hAnsi="source sans 3" w:cs="source sans 3"/>
                <w:color w:val="000000"/>
                <w:sz w:val="17"/>
              </w:rPr>
              <w:t>~100 000 €/km</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ECF" w14:textId="77777777" w:rsidR="00796E0E" w:rsidRDefault="00000000">
            <w:pPr>
              <w:spacing w:line="360" w:lineRule="auto"/>
            </w:pPr>
            <w:r>
              <w:rPr>
                <w:rFonts w:ascii="source sans 3" w:eastAsia="source sans 3" w:hAnsi="source sans 3" w:cs="source sans 3"/>
                <w:color w:val="000000"/>
                <w:sz w:val="17"/>
              </w:rPr>
              <w:t>BW‑study Tab. 7.1</w:t>
            </w:r>
            <w:hyperlink w:anchor="fn3">
              <w:r>
                <w:rPr>
                  <w:rFonts w:ascii="source sans 3" w:eastAsia="source sans 3" w:hAnsi="source sans 3" w:cs="source sans 3"/>
                  <w:sz w:val="17"/>
                  <w:u w:val="single"/>
                  <w:vertAlign w:val="superscript"/>
                </w:rPr>
                <w:t>[3]</w:t>
              </w:r>
            </w:hyperlink>
          </w:p>
        </w:tc>
      </w:tr>
      <w:tr w:rsidR="00796E0E" w14:paraId="0E95FE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D1" w14:textId="77777777" w:rsidR="00796E0E" w:rsidRDefault="00796E0E"/>
        </w:tc>
        <w:tc>
          <w:tcPr>
            <w:tcW w:w="0" w:type="auto"/>
            <w:tcBorders>
              <w:top w:val="single" w:sz="1" w:space="0" w:color="000000"/>
              <w:bottom w:val="single" w:sz="1" w:space="0" w:color="000000"/>
              <w:right w:val="single" w:sz="1" w:space="0" w:color="000000"/>
            </w:tcBorders>
          </w:tcPr>
          <w:p w14:paraId="0E95FED2" w14:textId="77777777" w:rsidR="00796E0E" w:rsidRDefault="00000000">
            <w:pPr>
              <w:spacing w:line="360" w:lineRule="auto"/>
            </w:pPr>
            <w:r>
              <w:rPr>
                <w:rFonts w:ascii="source sans 3" w:eastAsia="source sans 3" w:hAnsi="source sans 3" w:cs="source sans 3"/>
                <w:color w:val="000000"/>
                <w:sz w:val="17"/>
              </w:rPr>
              <w:t>Urban</w:t>
            </w:r>
          </w:p>
        </w:tc>
        <w:tc>
          <w:tcPr>
            <w:tcW w:w="0" w:type="auto"/>
            <w:tcBorders>
              <w:top w:val="single" w:sz="1" w:space="0" w:color="000000"/>
              <w:bottom w:val="single" w:sz="1" w:space="0" w:color="000000"/>
              <w:right w:val="single" w:sz="1" w:space="0" w:color="000000"/>
            </w:tcBorders>
          </w:tcPr>
          <w:p w14:paraId="0E95FED3" w14:textId="77777777" w:rsidR="00796E0E" w:rsidRDefault="00000000">
            <w:pPr>
              <w:spacing w:line="360" w:lineRule="auto"/>
            </w:pPr>
            <w:r>
              <w:rPr>
                <w:rFonts w:ascii="source sans 3" w:eastAsia="source sans 3" w:hAnsi="source sans 3" w:cs="source sans 3"/>
                <w:color w:val="000000"/>
                <w:sz w:val="17"/>
              </w:rPr>
              <w:t>~125 000 €/km</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ED4" w14:textId="77777777" w:rsidR="00796E0E" w:rsidRDefault="00000000">
            <w:pPr>
              <w:spacing w:line="360" w:lineRule="auto"/>
            </w:pPr>
            <w:r>
              <w:rPr>
                <w:rFonts w:ascii="source sans 3" w:eastAsia="source sans 3" w:hAnsi="source sans 3" w:cs="source sans 3"/>
                <w:color w:val="000000"/>
                <w:sz w:val="17"/>
              </w:rPr>
              <w:t>BW‑study Tab. 7.1</w:t>
            </w:r>
            <w:hyperlink w:anchor="fn3">
              <w:r>
                <w:rPr>
                  <w:rFonts w:ascii="source sans 3" w:eastAsia="source sans 3" w:hAnsi="source sans 3" w:cs="source sans 3"/>
                  <w:sz w:val="17"/>
                  <w:u w:val="single"/>
                  <w:vertAlign w:val="superscript"/>
                </w:rPr>
                <w:t>[3]</w:t>
              </w:r>
            </w:hyperlink>
          </w:p>
        </w:tc>
      </w:tr>
      <w:tr w:rsidR="00796E0E" w14:paraId="0E95FE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D6" w14:textId="77777777" w:rsidR="00796E0E" w:rsidRDefault="00000000">
            <w:pPr>
              <w:spacing w:line="360" w:lineRule="auto"/>
            </w:pPr>
            <w:r>
              <w:rPr>
                <w:rFonts w:ascii="source sans 3" w:eastAsia="source sans 3" w:hAnsi="source sans 3" w:cs="source sans 3"/>
                <w:color w:val="000000"/>
                <w:sz w:val="17"/>
              </w:rPr>
              <w:t xml:space="preserve">NS cable NAYY 4×150 mm², </w:t>
            </w:r>
            <w:r>
              <w:rPr>
                <w:rFonts w:ascii="source serif 4" w:eastAsia="source serif 4" w:hAnsi="source serif 4" w:cs="source serif 4"/>
                <w:i/>
                <w:color w:val="000000"/>
                <w:sz w:val="17"/>
              </w:rPr>
              <w:t>first</w:t>
            </w:r>
            <w:r>
              <w:rPr>
                <w:rFonts w:ascii="source sans 3" w:eastAsia="source sans 3" w:hAnsi="source sans 3" w:cs="source sans 3"/>
                <w:color w:val="000000"/>
                <w:sz w:val="17"/>
              </w:rPr>
              <w:t xml:space="preserve"> line</w:t>
            </w:r>
          </w:p>
        </w:tc>
        <w:tc>
          <w:tcPr>
            <w:tcW w:w="0" w:type="auto"/>
            <w:tcBorders>
              <w:top w:val="single" w:sz="1" w:space="0" w:color="000000"/>
              <w:bottom w:val="single" w:sz="1" w:space="0" w:color="000000"/>
              <w:right w:val="single" w:sz="1" w:space="0" w:color="000000"/>
            </w:tcBorders>
          </w:tcPr>
          <w:p w14:paraId="0E95FED7" w14:textId="77777777" w:rsidR="00796E0E" w:rsidRDefault="00000000">
            <w:pPr>
              <w:spacing w:line="360" w:lineRule="auto"/>
            </w:pPr>
            <w:r>
              <w:rPr>
                <w:rFonts w:ascii="source sans 3" w:eastAsia="source sans 3" w:hAnsi="source sans 3" w:cs="source sans 3"/>
                <w:color w:val="000000"/>
                <w:sz w:val="17"/>
              </w:rPr>
              <w:t>Generic</w:t>
            </w:r>
          </w:p>
        </w:tc>
        <w:tc>
          <w:tcPr>
            <w:tcW w:w="0" w:type="auto"/>
            <w:tcBorders>
              <w:top w:val="single" w:sz="1" w:space="0" w:color="000000"/>
              <w:bottom w:val="single" w:sz="1" w:space="0" w:color="000000"/>
              <w:right w:val="single" w:sz="1" w:space="0" w:color="000000"/>
            </w:tcBorders>
          </w:tcPr>
          <w:p w14:paraId="0E95FED8" w14:textId="77777777" w:rsidR="00796E0E" w:rsidRDefault="00000000">
            <w:pPr>
              <w:spacing w:line="360" w:lineRule="auto"/>
            </w:pPr>
            <w:r>
              <w:rPr>
                <w:rFonts w:ascii="source sans 3" w:eastAsia="source sans 3" w:hAnsi="source sans 3" w:cs="source sans 3"/>
                <w:color w:val="000000"/>
                <w:sz w:val="17"/>
              </w:rPr>
              <w:t>~150 000 €/km (incl. Tiefbau)</w:t>
            </w:r>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tcBorders>
          </w:tcPr>
          <w:p w14:paraId="0E95FED9" w14:textId="77777777" w:rsidR="00796E0E" w:rsidRDefault="00000000">
            <w:pPr>
              <w:spacing w:line="360" w:lineRule="auto"/>
            </w:pPr>
            <w:r>
              <w:rPr>
                <w:rFonts w:ascii="source sans 3" w:eastAsia="source sans 3" w:hAnsi="source sans 3" w:cs="source sans 3"/>
                <w:color w:val="000000"/>
                <w:sz w:val="17"/>
              </w:rPr>
              <w:t>PuBStadt Tab. 17.2</w:t>
            </w:r>
            <w:hyperlink w:anchor="fn2">
              <w:r>
                <w:rPr>
                  <w:rFonts w:ascii="source sans 3" w:eastAsia="source sans 3" w:hAnsi="source sans 3" w:cs="source sans 3"/>
                  <w:sz w:val="17"/>
                  <w:u w:val="single"/>
                  <w:vertAlign w:val="superscript"/>
                </w:rPr>
                <w:t>[2]</w:t>
              </w:r>
            </w:hyperlink>
          </w:p>
        </w:tc>
      </w:tr>
      <w:tr w:rsidR="00796E0E" w14:paraId="0E95FE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DB" w14:textId="77777777" w:rsidR="00796E0E" w:rsidRDefault="00000000">
            <w:pPr>
              <w:spacing w:line="360" w:lineRule="auto"/>
            </w:pPr>
            <w:r>
              <w:rPr>
                <w:rFonts w:ascii="source sans 3" w:eastAsia="source sans 3" w:hAnsi="source sans 3" w:cs="source sans 3"/>
                <w:color w:val="000000"/>
                <w:sz w:val="17"/>
              </w:rPr>
              <w:t xml:space="preserve">NS cable NAYY 4×150 mm², </w:t>
            </w:r>
            <w:r>
              <w:rPr>
                <w:rFonts w:ascii="source serif 4" w:eastAsia="source serif 4" w:hAnsi="source serif 4" w:cs="source serif 4"/>
                <w:i/>
                <w:color w:val="000000"/>
                <w:sz w:val="17"/>
              </w:rPr>
              <w:t>parallel</w:t>
            </w:r>
            <w:r>
              <w:rPr>
                <w:rFonts w:ascii="source sans 3" w:eastAsia="source sans 3" w:hAnsi="source sans 3" w:cs="source sans 3"/>
                <w:color w:val="000000"/>
                <w:sz w:val="17"/>
              </w:rPr>
              <w:t xml:space="preserve"> line</w:t>
            </w:r>
          </w:p>
        </w:tc>
        <w:tc>
          <w:tcPr>
            <w:tcW w:w="0" w:type="auto"/>
            <w:tcBorders>
              <w:top w:val="single" w:sz="1" w:space="0" w:color="000000"/>
              <w:bottom w:val="single" w:sz="1" w:space="0" w:color="000000"/>
              <w:right w:val="single" w:sz="1" w:space="0" w:color="000000"/>
            </w:tcBorders>
          </w:tcPr>
          <w:p w14:paraId="0E95FEDC" w14:textId="77777777" w:rsidR="00796E0E" w:rsidRDefault="00000000">
            <w:pPr>
              <w:spacing w:line="360" w:lineRule="auto"/>
            </w:pPr>
            <w:r>
              <w:rPr>
                <w:rFonts w:ascii="source sans 3" w:eastAsia="source sans 3" w:hAnsi="source sans 3" w:cs="source sans 3"/>
                <w:color w:val="000000"/>
                <w:sz w:val="17"/>
              </w:rPr>
              <w:t>Generic</w:t>
            </w:r>
          </w:p>
        </w:tc>
        <w:tc>
          <w:tcPr>
            <w:tcW w:w="0" w:type="auto"/>
            <w:tcBorders>
              <w:top w:val="single" w:sz="1" w:space="0" w:color="000000"/>
              <w:bottom w:val="single" w:sz="1" w:space="0" w:color="000000"/>
              <w:right w:val="single" w:sz="1" w:space="0" w:color="000000"/>
            </w:tcBorders>
          </w:tcPr>
          <w:p w14:paraId="0E95FEDD" w14:textId="77777777" w:rsidR="00796E0E" w:rsidRDefault="00000000">
            <w:pPr>
              <w:spacing w:line="360" w:lineRule="auto"/>
            </w:pPr>
            <w:r>
              <w:rPr>
                <w:rFonts w:ascii="source sans 3" w:eastAsia="source sans 3" w:hAnsi="source sans 3" w:cs="source sans 3"/>
                <w:color w:val="000000"/>
                <w:sz w:val="17"/>
              </w:rPr>
              <w:t>~20 000 €/km (mainly material)</w:t>
            </w:r>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tcBorders>
          </w:tcPr>
          <w:p w14:paraId="0E95FEDE" w14:textId="77777777" w:rsidR="00796E0E" w:rsidRDefault="00000000">
            <w:pPr>
              <w:spacing w:line="360" w:lineRule="auto"/>
            </w:pPr>
            <w:r>
              <w:rPr>
                <w:rFonts w:ascii="source sans 3" w:eastAsia="source sans 3" w:hAnsi="source sans 3" w:cs="source sans 3"/>
                <w:color w:val="000000"/>
                <w:sz w:val="17"/>
              </w:rPr>
              <w:t>PuBStadt Tab. 17.2</w:t>
            </w:r>
            <w:hyperlink w:anchor="fn2">
              <w:r>
                <w:rPr>
                  <w:rFonts w:ascii="source sans 3" w:eastAsia="source sans 3" w:hAnsi="source sans 3" w:cs="source sans 3"/>
                  <w:sz w:val="17"/>
                  <w:u w:val="single"/>
                  <w:vertAlign w:val="superscript"/>
                </w:rPr>
                <w:t>[2]</w:t>
              </w:r>
            </w:hyperlink>
          </w:p>
        </w:tc>
      </w:tr>
      <w:tr w:rsidR="00796E0E" w14:paraId="0E95FE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E0" w14:textId="77777777" w:rsidR="00796E0E" w:rsidRDefault="00000000">
            <w:pPr>
              <w:spacing w:line="360" w:lineRule="auto"/>
            </w:pPr>
            <w:r>
              <w:rPr>
                <w:rFonts w:ascii="source sans 3" w:eastAsia="source sans 3" w:hAnsi="source sans 3" w:cs="source sans 3"/>
                <w:color w:val="000000"/>
                <w:sz w:val="17"/>
              </w:rPr>
              <w:t>NS cable NAYY 4×240 mm², first line</w:t>
            </w:r>
          </w:p>
        </w:tc>
        <w:tc>
          <w:tcPr>
            <w:tcW w:w="0" w:type="auto"/>
            <w:tcBorders>
              <w:top w:val="single" w:sz="1" w:space="0" w:color="000000"/>
              <w:bottom w:val="single" w:sz="1" w:space="0" w:color="000000"/>
              <w:right w:val="single" w:sz="1" w:space="0" w:color="000000"/>
            </w:tcBorders>
          </w:tcPr>
          <w:p w14:paraId="0E95FEE1" w14:textId="77777777" w:rsidR="00796E0E" w:rsidRDefault="00000000">
            <w:pPr>
              <w:spacing w:line="360" w:lineRule="auto"/>
            </w:pPr>
            <w:r>
              <w:rPr>
                <w:rFonts w:ascii="source sans 3" w:eastAsia="source sans 3" w:hAnsi="source sans 3" w:cs="source sans 3"/>
                <w:color w:val="000000"/>
                <w:sz w:val="17"/>
              </w:rPr>
              <w:t>Generic</w:t>
            </w:r>
          </w:p>
        </w:tc>
        <w:tc>
          <w:tcPr>
            <w:tcW w:w="0" w:type="auto"/>
            <w:tcBorders>
              <w:top w:val="single" w:sz="1" w:space="0" w:color="000000"/>
              <w:bottom w:val="single" w:sz="1" w:space="0" w:color="000000"/>
              <w:right w:val="single" w:sz="1" w:space="0" w:color="000000"/>
            </w:tcBorders>
          </w:tcPr>
          <w:p w14:paraId="0E95FEE2" w14:textId="77777777" w:rsidR="00796E0E" w:rsidRDefault="00000000">
            <w:pPr>
              <w:spacing w:line="360" w:lineRule="auto"/>
            </w:pPr>
            <w:r>
              <w:rPr>
                <w:rFonts w:ascii="source sans 3" w:eastAsia="source sans 3" w:hAnsi="source sans 3" w:cs="source sans 3"/>
                <w:color w:val="000000"/>
                <w:sz w:val="17"/>
              </w:rPr>
              <w:t>~200 000 €/km</w:t>
            </w:r>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tcBorders>
          </w:tcPr>
          <w:p w14:paraId="0E95FEE3" w14:textId="77777777" w:rsidR="00796E0E" w:rsidRDefault="00000000">
            <w:pPr>
              <w:spacing w:line="360" w:lineRule="auto"/>
            </w:pPr>
            <w:r>
              <w:rPr>
                <w:rFonts w:ascii="source sans 3" w:eastAsia="source sans 3" w:hAnsi="source sans 3" w:cs="source sans 3"/>
                <w:color w:val="000000"/>
                <w:sz w:val="17"/>
              </w:rPr>
              <w:t>PuBStadt Tab. 17.2</w:t>
            </w:r>
            <w:hyperlink w:anchor="fn2">
              <w:r>
                <w:rPr>
                  <w:rFonts w:ascii="source sans 3" w:eastAsia="source sans 3" w:hAnsi="source sans 3" w:cs="source sans 3"/>
                  <w:sz w:val="17"/>
                  <w:u w:val="single"/>
                  <w:vertAlign w:val="superscript"/>
                </w:rPr>
                <w:t>[2]</w:t>
              </w:r>
            </w:hyperlink>
          </w:p>
        </w:tc>
      </w:tr>
      <w:tr w:rsidR="00796E0E" w14:paraId="0E95FE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E5" w14:textId="77777777" w:rsidR="00796E0E" w:rsidRDefault="00000000">
            <w:pPr>
              <w:spacing w:line="360" w:lineRule="auto"/>
            </w:pPr>
            <w:r>
              <w:rPr>
                <w:rFonts w:ascii="source sans 3" w:eastAsia="source sans 3" w:hAnsi="source sans 3" w:cs="source sans 3"/>
                <w:color w:val="000000"/>
                <w:sz w:val="17"/>
              </w:rPr>
              <w:t>NS cable NAYY 4×240 mm², parallel line</w:t>
            </w:r>
          </w:p>
        </w:tc>
        <w:tc>
          <w:tcPr>
            <w:tcW w:w="0" w:type="auto"/>
            <w:tcBorders>
              <w:top w:val="single" w:sz="1" w:space="0" w:color="000000"/>
              <w:bottom w:val="single" w:sz="1" w:space="0" w:color="000000"/>
              <w:right w:val="single" w:sz="1" w:space="0" w:color="000000"/>
            </w:tcBorders>
          </w:tcPr>
          <w:p w14:paraId="0E95FEE6" w14:textId="77777777" w:rsidR="00796E0E" w:rsidRDefault="00000000">
            <w:pPr>
              <w:spacing w:line="360" w:lineRule="auto"/>
            </w:pPr>
            <w:r>
              <w:rPr>
                <w:rFonts w:ascii="source sans 3" w:eastAsia="source sans 3" w:hAnsi="source sans 3" w:cs="source sans 3"/>
                <w:color w:val="000000"/>
                <w:sz w:val="17"/>
              </w:rPr>
              <w:t>Generic</w:t>
            </w:r>
          </w:p>
        </w:tc>
        <w:tc>
          <w:tcPr>
            <w:tcW w:w="0" w:type="auto"/>
            <w:tcBorders>
              <w:top w:val="single" w:sz="1" w:space="0" w:color="000000"/>
              <w:bottom w:val="single" w:sz="1" w:space="0" w:color="000000"/>
              <w:right w:val="single" w:sz="1" w:space="0" w:color="000000"/>
            </w:tcBorders>
          </w:tcPr>
          <w:p w14:paraId="0E95FEE7" w14:textId="77777777" w:rsidR="00796E0E" w:rsidRDefault="00000000">
            <w:pPr>
              <w:spacing w:line="360" w:lineRule="auto"/>
            </w:pPr>
            <w:r>
              <w:rPr>
                <w:rFonts w:ascii="source sans 3" w:eastAsia="source sans 3" w:hAnsi="source sans 3" w:cs="source sans 3"/>
                <w:color w:val="000000"/>
                <w:sz w:val="17"/>
              </w:rPr>
              <w:t>~60 000 €/km</w:t>
            </w:r>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tcBorders>
          </w:tcPr>
          <w:p w14:paraId="0E95FEE8" w14:textId="77777777" w:rsidR="00796E0E" w:rsidRDefault="00000000">
            <w:pPr>
              <w:spacing w:line="360" w:lineRule="auto"/>
            </w:pPr>
            <w:r>
              <w:rPr>
                <w:rFonts w:ascii="source sans 3" w:eastAsia="source sans 3" w:hAnsi="source sans 3" w:cs="source sans 3"/>
                <w:color w:val="000000"/>
                <w:sz w:val="17"/>
              </w:rPr>
              <w:t>PuBStadt Tab. 17.2</w:t>
            </w:r>
            <w:hyperlink w:anchor="fn2">
              <w:r>
                <w:rPr>
                  <w:rFonts w:ascii="source sans 3" w:eastAsia="source sans 3" w:hAnsi="source sans 3" w:cs="source sans 3"/>
                  <w:sz w:val="17"/>
                  <w:u w:val="single"/>
                  <w:vertAlign w:val="superscript"/>
                </w:rPr>
                <w:t>[2]</w:t>
              </w:r>
            </w:hyperlink>
          </w:p>
        </w:tc>
      </w:tr>
      <w:tr w:rsidR="00796E0E" w14:paraId="0E95FE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EA" w14:textId="77777777" w:rsidR="00796E0E" w:rsidRDefault="00000000">
            <w:pPr>
              <w:spacing w:line="360" w:lineRule="auto"/>
            </w:pPr>
            <w:r>
              <w:rPr>
                <w:rFonts w:ascii="source sans 3" w:eastAsia="source sans 3" w:hAnsi="source sans 3" w:cs="source sans 3"/>
                <w:color w:val="000000"/>
                <w:sz w:val="17"/>
              </w:rPr>
              <w:t>New LV secondary substation (ONS building)</w:t>
            </w:r>
          </w:p>
        </w:tc>
        <w:tc>
          <w:tcPr>
            <w:tcW w:w="0" w:type="auto"/>
            <w:tcBorders>
              <w:top w:val="single" w:sz="1" w:space="0" w:color="000000"/>
              <w:bottom w:val="single" w:sz="1" w:space="0" w:color="000000"/>
              <w:right w:val="single" w:sz="1" w:space="0" w:color="000000"/>
            </w:tcBorders>
          </w:tcPr>
          <w:p w14:paraId="0E95FEEB"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EEC" w14:textId="77777777" w:rsidR="00796E0E" w:rsidRDefault="00000000">
            <w:pPr>
              <w:spacing w:line="360" w:lineRule="auto"/>
            </w:pPr>
            <w:r>
              <w:rPr>
                <w:rFonts w:ascii="source sans 3" w:eastAsia="source sans 3" w:hAnsi="source sans 3" w:cs="source sans 3"/>
                <w:color w:val="000000"/>
                <w:sz w:val="17"/>
              </w:rPr>
              <w:t>~45 000–60 000 € per station</w:t>
            </w:r>
            <w:hyperlink w:anchor="fn3">
              <w:r>
                <w:rPr>
                  <w:rFonts w:ascii="source sans 3" w:eastAsia="source sans 3" w:hAnsi="source sans 3" w:cs="source sans 3"/>
                  <w:sz w:val="17"/>
                  <w:u w:val="single"/>
                  <w:vertAlign w:val="superscript"/>
                </w:rPr>
                <w:t>[3]</w:t>
              </w:r>
            </w:hyperlink>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tcBorders>
          </w:tcPr>
          <w:p w14:paraId="0E95FEED" w14:textId="77777777" w:rsidR="00796E0E" w:rsidRDefault="00000000">
            <w:pPr>
              <w:spacing w:line="360" w:lineRule="auto"/>
            </w:pPr>
            <w:r>
              <w:rPr>
                <w:rFonts w:ascii="source sans 3" w:eastAsia="source sans 3" w:hAnsi="source sans 3" w:cs="source sans 3"/>
                <w:color w:val="000000"/>
                <w:sz w:val="17"/>
              </w:rPr>
              <w:t>BW‑study 10; PuBStadt 17.2</w:t>
            </w:r>
            <w:hyperlink w:anchor="fn3">
              <w:r>
                <w:rPr>
                  <w:rFonts w:ascii="source sans 3" w:eastAsia="source sans 3" w:hAnsi="source sans 3" w:cs="source sans 3"/>
                  <w:sz w:val="17"/>
                  <w:u w:val="single"/>
                  <w:vertAlign w:val="superscript"/>
                </w:rPr>
                <w:t>[3]</w:t>
              </w:r>
            </w:hyperlink>
            <w:hyperlink w:anchor="fn2">
              <w:r>
                <w:rPr>
                  <w:rFonts w:ascii="source sans 3" w:eastAsia="source sans 3" w:hAnsi="source sans 3" w:cs="source sans 3"/>
                  <w:sz w:val="17"/>
                  <w:u w:val="single"/>
                  <w:vertAlign w:val="superscript"/>
                </w:rPr>
                <w:t>[2]</w:t>
              </w:r>
            </w:hyperlink>
          </w:p>
        </w:tc>
      </w:tr>
      <w:tr w:rsidR="00796E0E" w14:paraId="0E95FE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EF" w14:textId="77777777" w:rsidR="00796E0E" w:rsidRDefault="00000000">
            <w:pPr>
              <w:spacing w:line="360" w:lineRule="auto"/>
            </w:pPr>
            <w:r>
              <w:rPr>
                <w:rFonts w:ascii="source sans 3" w:eastAsia="source sans 3" w:hAnsi="source sans 3" w:cs="source sans 3"/>
                <w:color w:val="000000"/>
                <w:sz w:val="17"/>
              </w:rPr>
              <w:t>Replacement LV transformer (ONT, same size)</w:t>
            </w:r>
          </w:p>
        </w:tc>
        <w:tc>
          <w:tcPr>
            <w:tcW w:w="0" w:type="auto"/>
            <w:tcBorders>
              <w:top w:val="single" w:sz="1" w:space="0" w:color="000000"/>
              <w:bottom w:val="single" w:sz="1" w:space="0" w:color="000000"/>
              <w:right w:val="single" w:sz="1" w:space="0" w:color="000000"/>
            </w:tcBorders>
          </w:tcPr>
          <w:p w14:paraId="0E95FEF0"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EF1" w14:textId="77777777" w:rsidR="00796E0E" w:rsidRDefault="00000000">
            <w:pPr>
              <w:spacing w:line="360" w:lineRule="auto"/>
            </w:pPr>
            <w:r>
              <w:rPr>
                <w:rFonts w:ascii="source sans 3" w:eastAsia="source sans 3" w:hAnsi="source sans 3" w:cs="source sans 3"/>
                <w:color w:val="000000"/>
                <w:sz w:val="17"/>
              </w:rPr>
              <w:t>~10 000–15 000 € per unit</w:t>
            </w:r>
            <w:hyperlink w:anchor="fn3">
              <w:r>
                <w:rPr>
                  <w:rFonts w:ascii="source sans 3" w:eastAsia="source sans 3" w:hAnsi="source sans 3" w:cs="source sans 3"/>
                  <w:sz w:val="17"/>
                  <w:u w:val="single"/>
                  <w:vertAlign w:val="superscript"/>
                </w:rPr>
                <w:t>[3]</w:t>
              </w:r>
            </w:hyperlink>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tcBorders>
          </w:tcPr>
          <w:p w14:paraId="0E95FEF2" w14:textId="77777777" w:rsidR="00796E0E" w:rsidRDefault="00000000">
            <w:pPr>
              <w:spacing w:line="360" w:lineRule="auto"/>
            </w:pPr>
            <w:r>
              <w:rPr>
                <w:rFonts w:ascii="source sans 3" w:eastAsia="source sans 3" w:hAnsi="source sans 3" w:cs="source sans 3"/>
                <w:color w:val="000000"/>
                <w:sz w:val="17"/>
              </w:rPr>
              <w:t>BW‑study 11; PuBStadt 17.2</w:t>
            </w:r>
            <w:hyperlink w:anchor="fn3">
              <w:r>
                <w:rPr>
                  <w:rFonts w:ascii="source sans 3" w:eastAsia="source sans 3" w:hAnsi="source sans 3" w:cs="source sans 3"/>
                  <w:sz w:val="17"/>
                  <w:u w:val="single"/>
                  <w:vertAlign w:val="superscript"/>
                </w:rPr>
                <w:t>[3]</w:t>
              </w:r>
            </w:hyperlink>
            <w:hyperlink w:anchor="fn2">
              <w:r>
                <w:rPr>
                  <w:rFonts w:ascii="source sans 3" w:eastAsia="source sans 3" w:hAnsi="source sans 3" w:cs="source sans 3"/>
                  <w:sz w:val="17"/>
                  <w:u w:val="single"/>
                  <w:vertAlign w:val="superscript"/>
                </w:rPr>
                <w:t>[2]</w:t>
              </w:r>
            </w:hyperlink>
          </w:p>
        </w:tc>
      </w:tr>
      <w:tr w:rsidR="00796E0E" w14:paraId="0E95FE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F4" w14:textId="77777777" w:rsidR="00796E0E" w:rsidRDefault="00000000">
            <w:pPr>
              <w:spacing w:line="360" w:lineRule="auto"/>
            </w:pPr>
            <w:r>
              <w:rPr>
                <w:rFonts w:ascii="source sans 3" w:eastAsia="source sans 3" w:hAnsi="source sans 3" w:cs="source sans 3"/>
                <w:color w:val="000000"/>
                <w:sz w:val="17"/>
              </w:rPr>
              <w:t>New rONT (regelbarer ONT)</w:t>
            </w:r>
          </w:p>
        </w:tc>
        <w:tc>
          <w:tcPr>
            <w:tcW w:w="0" w:type="auto"/>
            <w:tcBorders>
              <w:top w:val="single" w:sz="1" w:space="0" w:color="000000"/>
              <w:bottom w:val="single" w:sz="1" w:space="0" w:color="000000"/>
              <w:right w:val="single" w:sz="1" w:space="0" w:color="000000"/>
            </w:tcBorders>
          </w:tcPr>
          <w:p w14:paraId="0E95FEF5"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EF6" w14:textId="77777777" w:rsidR="00796E0E" w:rsidRDefault="00000000">
            <w:pPr>
              <w:spacing w:line="360" w:lineRule="auto"/>
            </w:pPr>
            <w:r>
              <w:rPr>
                <w:rFonts w:ascii="source sans 3" w:eastAsia="source sans 3" w:hAnsi="source sans 3" w:cs="source sans 3"/>
                <w:color w:val="000000"/>
                <w:sz w:val="17"/>
              </w:rPr>
              <w:t>~45 000 € per unit (above regular ONT)</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EF7" w14:textId="77777777" w:rsidR="00796E0E" w:rsidRDefault="00000000">
            <w:pPr>
              <w:spacing w:line="360" w:lineRule="auto"/>
            </w:pPr>
            <w:r>
              <w:rPr>
                <w:rFonts w:ascii="source sans 3" w:eastAsia="source sans 3" w:hAnsi="source sans 3" w:cs="source sans 3"/>
                <w:color w:val="000000"/>
                <w:sz w:val="17"/>
              </w:rPr>
              <w:t>BW‑study 12</w:t>
            </w:r>
            <w:hyperlink w:anchor="fn3">
              <w:r>
                <w:rPr>
                  <w:rFonts w:ascii="source sans 3" w:eastAsia="source sans 3" w:hAnsi="source sans 3" w:cs="source sans 3"/>
                  <w:sz w:val="17"/>
                  <w:u w:val="single"/>
                  <w:vertAlign w:val="superscript"/>
                </w:rPr>
                <w:t>[3]</w:t>
              </w:r>
            </w:hyperlink>
          </w:p>
        </w:tc>
      </w:tr>
      <w:tr w:rsidR="00796E0E" w14:paraId="0E95FE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EF9" w14:textId="77777777" w:rsidR="00796E0E" w:rsidRDefault="00000000">
            <w:pPr>
              <w:spacing w:line="360" w:lineRule="auto"/>
            </w:pPr>
            <w:r>
              <w:rPr>
                <w:rFonts w:ascii="source sans 3" w:eastAsia="source sans 3" w:hAnsi="source sans 3" w:cs="source sans 3"/>
                <w:color w:val="000000"/>
                <w:sz w:val="17"/>
              </w:rPr>
              <w:t>LV cable operating &amp; maintenance (Opex)</w:t>
            </w:r>
          </w:p>
        </w:tc>
        <w:tc>
          <w:tcPr>
            <w:tcW w:w="0" w:type="auto"/>
            <w:tcBorders>
              <w:top w:val="single" w:sz="1" w:space="0" w:color="000000"/>
              <w:bottom w:val="single" w:sz="1" w:space="0" w:color="000000"/>
              <w:right w:val="single" w:sz="1" w:space="0" w:color="000000"/>
            </w:tcBorders>
          </w:tcPr>
          <w:p w14:paraId="0E95FEFA"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EFB" w14:textId="77777777" w:rsidR="00796E0E" w:rsidRDefault="00000000">
            <w:pPr>
              <w:spacing w:line="360" w:lineRule="auto"/>
            </w:pPr>
            <w:r>
              <w:rPr>
                <w:rFonts w:ascii="source sans 3" w:eastAsia="source sans 3" w:hAnsi="source sans 3" w:cs="source sans 3"/>
                <w:color w:val="000000"/>
                <w:sz w:val="17"/>
              </w:rPr>
              <w:t>~2.5 % of CapEx per year (typical assumption)</w:t>
            </w:r>
            <w:hyperlink w:anchor="fn2">
              <w:r>
                <w:rPr>
                  <w:rFonts w:ascii="source sans 3" w:eastAsia="source sans 3" w:hAnsi="source sans 3" w:cs="source sans 3"/>
                  <w:sz w:val="17"/>
                  <w:u w:val="single"/>
                  <w:vertAlign w:val="superscript"/>
                </w:rPr>
                <w:t>[2]</w:t>
              </w:r>
            </w:hyperlink>
          </w:p>
        </w:tc>
        <w:tc>
          <w:tcPr>
            <w:tcW w:w="0" w:type="auto"/>
            <w:tcBorders>
              <w:top w:val="single" w:sz="1" w:space="0" w:color="000000"/>
              <w:bottom w:val="single" w:sz="1" w:space="0" w:color="000000"/>
            </w:tcBorders>
          </w:tcPr>
          <w:p w14:paraId="0E95FEFC" w14:textId="77777777" w:rsidR="00796E0E" w:rsidRDefault="00000000">
            <w:pPr>
              <w:spacing w:line="360" w:lineRule="auto"/>
            </w:pPr>
            <w:r>
              <w:rPr>
                <w:rFonts w:ascii="source sans 3" w:eastAsia="source sans 3" w:hAnsi="source sans 3" w:cs="source sans 3"/>
                <w:color w:val="000000"/>
                <w:sz w:val="17"/>
              </w:rPr>
              <w:t>PuBStadt 17.2</w:t>
            </w:r>
            <w:hyperlink w:anchor="fn2">
              <w:r>
                <w:rPr>
                  <w:rFonts w:ascii="source sans 3" w:eastAsia="source sans 3" w:hAnsi="source sans 3" w:cs="source sans 3"/>
                  <w:sz w:val="17"/>
                  <w:u w:val="single"/>
                  <w:vertAlign w:val="superscript"/>
                </w:rPr>
                <w:t>[2]</w:t>
              </w:r>
            </w:hyperlink>
          </w:p>
        </w:tc>
      </w:tr>
    </w:tbl>
    <w:p w14:paraId="0E95FEFE" w14:textId="77777777" w:rsidR="00796E0E" w:rsidRDefault="00796E0E"/>
    <w:p w14:paraId="0E95FEFF" w14:textId="77777777" w:rsidR="00796E0E" w:rsidRDefault="00000000">
      <w:pPr>
        <w:spacing w:after="210" w:line="360" w:lineRule="auto"/>
      </w:pPr>
      <w:r>
        <w:rPr>
          <w:rFonts w:ascii="source serif 4" w:eastAsia="source serif 4" w:hAnsi="source serif 4" w:cs="source serif 4"/>
          <w:color w:val="000000"/>
        </w:rPr>
        <w:t>These figures show that:</w:t>
      </w:r>
    </w:p>
    <w:p w14:paraId="0E95FF00" w14:textId="77777777" w:rsidR="00796E0E" w:rsidRDefault="00000000">
      <w:pPr>
        <w:numPr>
          <w:ilvl w:val="0"/>
          <w:numId w:val="5"/>
        </w:numPr>
        <w:spacing w:before="105" w:after="105" w:line="360" w:lineRule="auto"/>
      </w:pPr>
      <w:r>
        <w:rPr>
          <w:rFonts w:ascii="source serif 4" w:eastAsia="source serif 4" w:hAnsi="source serif 4" w:cs="source serif 4"/>
          <w:color w:val="000000"/>
        </w:rPr>
        <w:t>Civil engineering roughly doubles or triples the cost compared with cable+installation alone (compare first vs parallel NS cable lines).</w:t>
      </w:r>
      <w:bookmarkStart w:id="35" w:name="fnref2_26"/>
      <w:bookmarkEnd w:id="35"/>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01" w14:textId="77777777" w:rsidR="00796E0E" w:rsidRDefault="00000000">
      <w:pPr>
        <w:numPr>
          <w:ilvl w:val="0"/>
          <w:numId w:val="5"/>
        </w:numPr>
        <w:spacing w:before="105" w:after="105" w:line="360" w:lineRule="auto"/>
      </w:pPr>
      <w:r>
        <w:rPr>
          <w:rFonts w:ascii="source serif 4" w:eastAsia="source serif 4" w:hAnsi="source serif 4" w:cs="source serif 4"/>
          <w:color w:val="000000"/>
        </w:rPr>
        <w:lastRenderedPageBreak/>
        <w:t>Urban NS cable reinforcement costs on the order of 125–200 k€/km are entirely plausible, depending on depth, street type, and whether bundled civil costs are fully included.</w:t>
      </w:r>
      <w:bookmarkStart w:id="36" w:name="fnref3_20"/>
      <w:bookmarkEnd w:id="36"/>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37" w:name="fnref2_27"/>
      <w:bookmarkEnd w:id="37"/>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02" w14:textId="77777777" w:rsidR="00796E0E" w:rsidRDefault="00000000">
      <w:pPr>
        <w:spacing w:after="210" w:line="360" w:lineRule="auto"/>
      </w:pPr>
      <w:r>
        <w:rPr>
          <w:rFonts w:ascii="source serif 4" w:eastAsia="source serif 4" w:hAnsi="source serif 4" w:cs="source serif 4"/>
          <w:color w:val="000000"/>
        </w:rPr>
        <w:t xml:space="preserve">If your heuristic NS cable cost per km including Tiefbau lies within roughly </w:t>
      </w:r>
      <w:r>
        <w:rPr>
          <w:rFonts w:ascii="source serif 4" w:eastAsia="source serif 4" w:hAnsi="source serif 4" w:cs="source serif 4"/>
          <w:b/>
          <w:color w:val="000000"/>
        </w:rPr>
        <w:t>80–200 k€/km</w:t>
      </w:r>
      <w:r>
        <w:rPr>
          <w:rFonts w:ascii="source serif 4" w:eastAsia="source serif 4" w:hAnsi="source serif 4" w:cs="source serif 4"/>
          <w:color w:val="000000"/>
        </w:rPr>
        <w:t xml:space="preserve"> depending on settlement type, it is well supported by these official studies.</w:t>
      </w:r>
      <w:bookmarkStart w:id="38" w:name="fnref2_28"/>
      <w:bookmarkEnd w:id="38"/>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39" w:name="fnref3_21"/>
      <w:bookmarkEnd w:id="39"/>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03" w14:textId="77777777" w:rsidR="00796E0E" w:rsidRDefault="00000000">
      <w:pPr>
        <w:spacing w:before="315" w:after="105" w:line="360" w:lineRule="auto"/>
        <w:ind w:left="-30"/>
      </w:pPr>
      <w:bookmarkStart w:id="40" w:name="ms_components_medium_voltage_leve_95ebb9"/>
      <w:r>
        <w:rPr>
          <w:rFonts w:ascii="source serif 4" w:eastAsia="source serif 4" w:hAnsi="source serif 4" w:cs="source serif 4"/>
          <w:b/>
          <w:color w:val="000000"/>
          <w:sz w:val="24"/>
        </w:rPr>
        <w:t>MS components (medium voltage level, relevant for transformer reinforcement)</w:t>
      </w:r>
      <w:bookmarkEnd w:id="40"/>
    </w:p>
    <w:p w14:paraId="0E95FF04" w14:textId="77777777" w:rsidR="00796E0E" w:rsidRDefault="00000000">
      <w:pPr>
        <w:spacing w:after="210" w:line="360" w:lineRule="auto"/>
      </w:pPr>
      <w:r>
        <w:rPr>
          <w:rFonts w:ascii="source serif 4" w:eastAsia="source serif 4" w:hAnsi="source serif 4" w:cs="source serif 4"/>
          <w:b/>
          <w:color w:val="000000"/>
        </w:rPr>
        <w:t>Table 2 – MS‑level reinforcement cost benchmarks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85"/>
        <w:gridCol w:w="1469"/>
        <w:gridCol w:w="2619"/>
        <w:gridCol w:w="1445"/>
      </w:tblGrid>
      <w:tr w:rsidR="00796E0E" w14:paraId="0E95FF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05" w14:textId="77777777" w:rsidR="00796E0E" w:rsidRDefault="00000000">
            <w:pPr>
              <w:spacing w:line="360" w:lineRule="auto"/>
            </w:pPr>
            <w:r>
              <w:rPr>
                <w:rFonts w:ascii="source sans 3" w:eastAsia="source sans 3" w:hAnsi="source sans 3" w:cs="source sans 3"/>
                <w:color w:val="000000"/>
                <w:sz w:val="17"/>
              </w:rPr>
              <w:t>Asset / measure</w:t>
            </w:r>
          </w:p>
        </w:tc>
        <w:tc>
          <w:tcPr>
            <w:tcW w:w="0" w:type="auto"/>
            <w:tcBorders>
              <w:top w:val="single" w:sz="1" w:space="0" w:color="000000"/>
              <w:bottom w:val="single" w:sz="1" w:space="0" w:color="000000"/>
              <w:right w:val="single" w:sz="1" w:space="0" w:color="000000"/>
            </w:tcBorders>
          </w:tcPr>
          <w:p w14:paraId="0E95FF06" w14:textId="77777777" w:rsidR="00796E0E" w:rsidRDefault="00000000">
            <w:pPr>
              <w:spacing w:line="360" w:lineRule="auto"/>
            </w:pPr>
            <w:r>
              <w:rPr>
                <w:rFonts w:ascii="source sans 3" w:eastAsia="source sans 3" w:hAnsi="source sans 3" w:cs="source sans 3"/>
                <w:color w:val="000000"/>
                <w:sz w:val="17"/>
              </w:rPr>
              <w:t>Settlement type</w:t>
            </w:r>
          </w:p>
        </w:tc>
        <w:tc>
          <w:tcPr>
            <w:tcW w:w="0" w:type="auto"/>
            <w:tcBorders>
              <w:top w:val="single" w:sz="1" w:space="0" w:color="000000"/>
              <w:bottom w:val="single" w:sz="1" w:space="0" w:color="000000"/>
              <w:right w:val="single" w:sz="1" w:space="0" w:color="000000"/>
            </w:tcBorders>
          </w:tcPr>
          <w:p w14:paraId="0E95FF07" w14:textId="77777777" w:rsidR="00796E0E" w:rsidRDefault="00000000">
            <w:pPr>
              <w:spacing w:line="360" w:lineRule="auto"/>
            </w:pPr>
            <w:r>
              <w:rPr>
                <w:rFonts w:ascii="source sans 3" w:eastAsia="source sans 3" w:hAnsi="source sans 3" w:cs="source sans 3"/>
                <w:color w:val="000000"/>
                <w:sz w:val="17"/>
              </w:rPr>
              <w:t>Benchmark cost</w:t>
            </w:r>
          </w:p>
        </w:tc>
        <w:tc>
          <w:tcPr>
            <w:tcW w:w="0" w:type="auto"/>
            <w:tcBorders>
              <w:top w:val="single" w:sz="1" w:space="0" w:color="000000"/>
              <w:bottom w:val="single" w:sz="1" w:space="0" w:color="000000"/>
            </w:tcBorders>
          </w:tcPr>
          <w:p w14:paraId="0E95FF08" w14:textId="77777777" w:rsidR="00796E0E" w:rsidRDefault="00000000">
            <w:pPr>
              <w:spacing w:line="360" w:lineRule="auto"/>
            </w:pPr>
            <w:r>
              <w:rPr>
                <w:rFonts w:ascii="source sans 3" w:eastAsia="source sans 3" w:hAnsi="source sans 3" w:cs="source sans 3"/>
                <w:color w:val="000000"/>
                <w:sz w:val="17"/>
              </w:rPr>
              <w:t>Source</w:t>
            </w:r>
          </w:p>
        </w:tc>
      </w:tr>
      <w:tr w:rsidR="00796E0E" w14:paraId="0E95FF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0A" w14:textId="77777777" w:rsidR="00796E0E" w:rsidRDefault="00000000">
            <w:pPr>
              <w:spacing w:line="360" w:lineRule="auto"/>
            </w:pPr>
            <w:r>
              <w:rPr>
                <w:rFonts w:ascii="source sans 3" w:eastAsia="source sans 3" w:hAnsi="source sans 3" w:cs="source sans 3"/>
                <w:color w:val="000000"/>
                <w:sz w:val="17"/>
              </w:rPr>
              <w:t>MS cable NA2XS2Y 3×150‑300 mm², first</w:t>
            </w:r>
          </w:p>
        </w:tc>
        <w:tc>
          <w:tcPr>
            <w:tcW w:w="0" w:type="auto"/>
            <w:tcBorders>
              <w:top w:val="single" w:sz="1" w:space="0" w:color="000000"/>
              <w:bottom w:val="single" w:sz="1" w:space="0" w:color="000000"/>
              <w:right w:val="single" w:sz="1" w:space="0" w:color="000000"/>
            </w:tcBorders>
          </w:tcPr>
          <w:p w14:paraId="0E95FF0B" w14:textId="77777777" w:rsidR="00796E0E" w:rsidRDefault="00000000">
            <w:pPr>
              <w:spacing w:line="360" w:lineRule="auto"/>
            </w:pPr>
            <w:r>
              <w:rPr>
                <w:rFonts w:ascii="source sans 3" w:eastAsia="source sans 3" w:hAnsi="source sans 3" w:cs="source sans 3"/>
                <w:color w:val="000000"/>
                <w:sz w:val="17"/>
              </w:rPr>
              <w:t>Rural</w:t>
            </w:r>
          </w:p>
        </w:tc>
        <w:tc>
          <w:tcPr>
            <w:tcW w:w="0" w:type="auto"/>
            <w:tcBorders>
              <w:top w:val="single" w:sz="1" w:space="0" w:color="000000"/>
              <w:bottom w:val="single" w:sz="1" w:space="0" w:color="000000"/>
              <w:right w:val="single" w:sz="1" w:space="0" w:color="000000"/>
            </w:tcBorders>
          </w:tcPr>
          <w:p w14:paraId="0E95FF0C" w14:textId="77777777" w:rsidR="00796E0E" w:rsidRDefault="00000000">
            <w:pPr>
              <w:spacing w:line="360" w:lineRule="auto"/>
            </w:pPr>
            <w:r>
              <w:rPr>
                <w:rFonts w:ascii="source sans 3" w:eastAsia="source sans 3" w:hAnsi="source sans 3" w:cs="source sans 3"/>
                <w:color w:val="000000"/>
                <w:sz w:val="17"/>
              </w:rPr>
              <w:t>~130 000 €/km</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F0D" w14:textId="77777777" w:rsidR="00796E0E" w:rsidRDefault="00000000">
            <w:pPr>
              <w:spacing w:line="360" w:lineRule="auto"/>
            </w:pPr>
            <w:r>
              <w:rPr>
                <w:rFonts w:ascii="source sans 3" w:eastAsia="source sans 3" w:hAnsi="source sans 3" w:cs="source sans 3"/>
                <w:color w:val="000000"/>
                <w:sz w:val="17"/>
              </w:rPr>
              <w:t>BW‑study 9</w:t>
            </w:r>
            <w:hyperlink w:anchor="fn3">
              <w:r>
                <w:rPr>
                  <w:rFonts w:ascii="source sans 3" w:eastAsia="source sans 3" w:hAnsi="source sans 3" w:cs="source sans 3"/>
                  <w:sz w:val="17"/>
                  <w:u w:val="single"/>
                  <w:vertAlign w:val="superscript"/>
                </w:rPr>
                <w:t>[3]</w:t>
              </w:r>
            </w:hyperlink>
          </w:p>
        </w:tc>
      </w:tr>
      <w:tr w:rsidR="00796E0E" w14:paraId="0E95FF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0F" w14:textId="77777777" w:rsidR="00796E0E" w:rsidRDefault="00796E0E"/>
        </w:tc>
        <w:tc>
          <w:tcPr>
            <w:tcW w:w="0" w:type="auto"/>
            <w:tcBorders>
              <w:top w:val="single" w:sz="1" w:space="0" w:color="000000"/>
              <w:bottom w:val="single" w:sz="1" w:space="0" w:color="000000"/>
              <w:right w:val="single" w:sz="1" w:space="0" w:color="000000"/>
            </w:tcBorders>
          </w:tcPr>
          <w:p w14:paraId="0E95FF10" w14:textId="77777777" w:rsidR="00796E0E" w:rsidRDefault="00000000">
            <w:pPr>
              <w:spacing w:line="360" w:lineRule="auto"/>
            </w:pPr>
            <w:r>
              <w:rPr>
                <w:rFonts w:ascii="source sans 3" w:eastAsia="source sans 3" w:hAnsi="source sans 3" w:cs="source sans 3"/>
                <w:color w:val="000000"/>
                <w:sz w:val="17"/>
              </w:rPr>
              <w:t>Semi‑urban</w:t>
            </w:r>
          </w:p>
        </w:tc>
        <w:tc>
          <w:tcPr>
            <w:tcW w:w="0" w:type="auto"/>
            <w:tcBorders>
              <w:top w:val="single" w:sz="1" w:space="0" w:color="000000"/>
              <w:bottom w:val="single" w:sz="1" w:space="0" w:color="000000"/>
              <w:right w:val="single" w:sz="1" w:space="0" w:color="000000"/>
            </w:tcBorders>
          </w:tcPr>
          <w:p w14:paraId="0E95FF11" w14:textId="77777777" w:rsidR="00796E0E" w:rsidRDefault="00000000">
            <w:pPr>
              <w:spacing w:line="360" w:lineRule="auto"/>
            </w:pPr>
            <w:r>
              <w:rPr>
                <w:rFonts w:ascii="source sans 3" w:eastAsia="source sans 3" w:hAnsi="source sans 3" w:cs="source sans 3"/>
                <w:color w:val="000000"/>
                <w:sz w:val="17"/>
              </w:rPr>
              <w:t>~145 000 €/km</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F12" w14:textId="77777777" w:rsidR="00796E0E" w:rsidRDefault="00000000">
            <w:pPr>
              <w:spacing w:line="360" w:lineRule="auto"/>
            </w:pPr>
            <w:r>
              <w:rPr>
                <w:rFonts w:ascii="source sans 3" w:eastAsia="source sans 3" w:hAnsi="source sans 3" w:cs="source sans 3"/>
                <w:color w:val="000000"/>
                <w:sz w:val="17"/>
              </w:rPr>
              <w:t>BW‑study 9</w:t>
            </w:r>
            <w:hyperlink w:anchor="fn3">
              <w:r>
                <w:rPr>
                  <w:rFonts w:ascii="source sans 3" w:eastAsia="source sans 3" w:hAnsi="source sans 3" w:cs="source sans 3"/>
                  <w:sz w:val="17"/>
                  <w:u w:val="single"/>
                  <w:vertAlign w:val="superscript"/>
                </w:rPr>
                <w:t>[3]</w:t>
              </w:r>
            </w:hyperlink>
          </w:p>
        </w:tc>
      </w:tr>
      <w:tr w:rsidR="00796E0E" w14:paraId="0E95FF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14" w14:textId="77777777" w:rsidR="00796E0E" w:rsidRDefault="00796E0E"/>
        </w:tc>
        <w:tc>
          <w:tcPr>
            <w:tcW w:w="0" w:type="auto"/>
            <w:tcBorders>
              <w:top w:val="single" w:sz="1" w:space="0" w:color="000000"/>
              <w:bottom w:val="single" w:sz="1" w:space="0" w:color="000000"/>
              <w:right w:val="single" w:sz="1" w:space="0" w:color="000000"/>
            </w:tcBorders>
          </w:tcPr>
          <w:p w14:paraId="0E95FF15" w14:textId="77777777" w:rsidR="00796E0E" w:rsidRDefault="00000000">
            <w:pPr>
              <w:spacing w:line="360" w:lineRule="auto"/>
            </w:pPr>
            <w:r>
              <w:rPr>
                <w:rFonts w:ascii="source sans 3" w:eastAsia="source sans 3" w:hAnsi="source sans 3" w:cs="source sans 3"/>
                <w:color w:val="000000"/>
                <w:sz w:val="17"/>
              </w:rPr>
              <w:t>Urban</w:t>
            </w:r>
          </w:p>
        </w:tc>
        <w:tc>
          <w:tcPr>
            <w:tcW w:w="0" w:type="auto"/>
            <w:tcBorders>
              <w:top w:val="single" w:sz="1" w:space="0" w:color="000000"/>
              <w:bottom w:val="single" w:sz="1" w:space="0" w:color="000000"/>
              <w:right w:val="single" w:sz="1" w:space="0" w:color="000000"/>
            </w:tcBorders>
          </w:tcPr>
          <w:p w14:paraId="0E95FF16" w14:textId="77777777" w:rsidR="00796E0E" w:rsidRDefault="00000000">
            <w:pPr>
              <w:spacing w:line="360" w:lineRule="auto"/>
            </w:pPr>
            <w:r>
              <w:rPr>
                <w:rFonts w:ascii="source sans 3" w:eastAsia="source sans 3" w:hAnsi="source sans 3" w:cs="source sans 3"/>
                <w:color w:val="000000"/>
                <w:sz w:val="17"/>
              </w:rPr>
              <w:t>~160 000 €/km</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F17" w14:textId="77777777" w:rsidR="00796E0E" w:rsidRDefault="00000000">
            <w:pPr>
              <w:spacing w:line="360" w:lineRule="auto"/>
            </w:pPr>
            <w:r>
              <w:rPr>
                <w:rFonts w:ascii="source sans 3" w:eastAsia="source sans 3" w:hAnsi="source sans 3" w:cs="source sans 3"/>
                <w:color w:val="000000"/>
                <w:sz w:val="17"/>
              </w:rPr>
              <w:t>BW‑study 9</w:t>
            </w:r>
            <w:hyperlink w:anchor="fn3">
              <w:r>
                <w:rPr>
                  <w:rFonts w:ascii="source sans 3" w:eastAsia="source sans 3" w:hAnsi="source sans 3" w:cs="source sans 3"/>
                  <w:sz w:val="17"/>
                  <w:u w:val="single"/>
                  <w:vertAlign w:val="superscript"/>
                </w:rPr>
                <w:t>[3]</w:t>
              </w:r>
            </w:hyperlink>
          </w:p>
        </w:tc>
      </w:tr>
      <w:tr w:rsidR="00796E0E" w14:paraId="0E95FF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19" w14:textId="77777777" w:rsidR="00796E0E" w:rsidRDefault="00000000">
            <w:pPr>
              <w:spacing w:line="360" w:lineRule="auto"/>
            </w:pPr>
            <w:r>
              <w:rPr>
                <w:rFonts w:ascii="source sans 3" w:eastAsia="source sans 3" w:hAnsi="source sans 3" w:cs="source sans 3"/>
                <w:color w:val="000000"/>
                <w:sz w:val="17"/>
              </w:rPr>
              <w:t>New MS/LV substation (transformer + UW)</w:t>
            </w:r>
          </w:p>
        </w:tc>
        <w:tc>
          <w:tcPr>
            <w:tcW w:w="0" w:type="auto"/>
            <w:tcBorders>
              <w:top w:val="single" w:sz="1" w:space="0" w:color="000000"/>
              <w:bottom w:val="single" w:sz="1" w:space="0" w:color="000000"/>
              <w:right w:val="single" w:sz="1" w:space="0" w:color="000000"/>
            </w:tcBorders>
          </w:tcPr>
          <w:p w14:paraId="0E95FF1A"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1B" w14:textId="77777777" w:rsidR="00796E0E" w:rsidRDefault="00000000">
            <w:pPr>
              <w:spacing w:line="360" w:lineRule="auto"/>
            </w:pPr>
            <w:r>
              <w:rPr>
                <w:rFonts w:ascii="source sans 3" w:eastAsia="source sans 3" w:hAnsi="source sans 3" w:cs="source sans 3"/>
                <w:color w:val="000000"/>
                <w:sz w:val="17"/>
              </w:rPr>
              <w:t>1.3–3.2 M€ depending on size</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F1C" w14:textId="77777777" w:rsidR="00796E0E" w:rsidRDefault="00000000">
            <w:pPr>
              <w:spacing w:line="360" w:lineRule="auto"/>
            </w:pPr>
            <w:r>
              <w:rPr>
                <w:rFonts w:ascii="source sans 3" w:eastAsia="source sans 3" w:hAnsi="source sans 3" w:cs="source sans 3"/>
                <w:color w:val="000000"/>
                <w:sz w:val="17"/>
              </w:rPr>
              <w:t>BW‑study 6,7</w:t>
            </w:r>
            <w:hyperlink w:anchor="fn3">
              <w:r>
                <w:rPr>
                  <w:rFonts w:ascii="source sans 3" w:eastAsia="source sans 3" w:hAnsi="source sans 3" w:cs="source sans 3"/>
                  <w:sz w:val="17"/>
                  <w:u w:val="single"/>
                  <w:vertAlign w:val="superscript"/>
                </w:rPr>
                <w:t>[3]</w:t>
              </w:r>
            </w:hyperlink>
          </w:p>
        </w:tc>
      </w:tr>
      <w:tr w:rsidR="00796E0E" w14:paraId="0E95FF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1E" w14:textId="77777777" w:rsidR="00796E0E" w:rsidRDefault="00000000">
            <w:pPr>
              <w:spacing w:line="360" w:lineRule="auto"/>
            </w:pPr>
            <w:r>
              <w:rPr>
                <w:rFonts w:ascii="source sans 3" w:eastAsia="source sans 3" w:hAnsi="source sans 3" w:cs="source sans 3"/>
                <w:color w:val="000000"/>
                <w:sz w:val="17"/>
              </w:rPr>
              <w:t>MS‑Spannungsregler</w:t>
            </w:r>
          </w:p>
        </w:tc>
        <w:tc>
          <w:tcPr>
            <w:tcW w:w="0" w:type="auto"/>
            <w:tcBorders>
              <w:top w:val="single" w:sz="1" w:space="0" w:color="000000"/>
              <w:bottom w:val="single" w:sz="1" w:space="0" w:color="000000"/>
              <w:right w:val="single" w:sz="1" w:space="0" w:color="000000"/>
            </w:tcBorders>
          </w:tcPr>
          <w:p w14:paraId="0E95FF1F"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20" w14:textId="77777777" w:rsidR="00796E0E" w:rsidRDefault="00000000">
            <w:pPr>
              <w:spacing w:line="360" w:lineRule="auto"/>
            </w:pPr>
            <w:r>
              <w:rPr>
                <w:rFonts w:ascii="source sans 3" w:eastAsia="source sans 3" w:hAnsi="source sans 3" w:cs="source sans 3"/>
                <w:color w:val="000000"/>
                <w:sz w:val="17"/>
              </w:rPr>
              <w:t>~300 000 € per regulator</w:t>
            </w:r>
            <w:hyperlink w:anchor="fn3">
              <w:r>
                <w:rPr>
                  <w:rFonts w:ascii="source sans 3" w:eastAsia="source sans 3" w:hAnsi="source sans 3" w:cs="source sans 3"/>
                  <w:sz w:val="17"/>
                  <w:u w:val="single"/>
                  <w:vertAlign w:val="superscript"/>
                </w:rPr>
                <w:t>[3]</w:t>
              </w:r>
            </w:hyperlink>
          </w:p>
        </w:tc>
        <w:tc>
          <w:tcPr>
            <w:tcW w:w="0" w:type="auto"/>
            <w:tcBorders>
              <w:top w:val="single" w:sz="1" w:space="0" w:color="000000"/>
              <w:bottom w:val="single" w:sz="1" w:space="0" w:color="000000"/>
            </w:tcBorders>
          </w:tcPr>
          <w:p w14:paraId="0E95FF21" w14:textId="77777777" w:rsidR="00796E0E" w:rsidRDefault="00000000">
            <w:pPr>
              <w:spacing w:line="360" w:lineRule="auto"/>
            </w:pPr>
            <w:r>
              <w:rPr>
                <w:rFonts w:ascii="source sans 3" w:eastAsia="source sans 3" w:hAnsi="source sans 3" w:cs="source sans 3"/>
                <w:color w:val="000000"/>
                <w:sz w:val="17"/>
              </w:rPr>
              <w:t>BW‑study 6.5</w:t>
            </w:r>
            <w:hyperlink w:anchor="fn3">
              <w:r>
                <w:rPr>
                  <w:rFonts w:ascii="source sans 3" w:eastAsia="source sans 3" w:hAnsi="source sans 3" w:cs="source sans 3"/>
                  <w:sz w:val="17"/>
                  <w:u w:val="single"/>
                  <w:vertAlign w:val="superscript"/>
                </w:rPr>
                <w:t>[3]</w:t>
              </w:r>
            </w:hyperlink>
          </w:p>
        </w:tc>
      </w:tr>
    </w:tbl>
    <w:p w14:paraId="0E95FF23" w14:textId="77777777" w:rsidR="00796E0E" w:rsidRDefault="00796E0E"/>
    <w:p w14:paraId="0E95FF24" w14:textId="77777777" w:rsidR="00796E0E" w:rsidRDefault="00000000">
      <w:pPr>
        <w:spacing w:after="210" w:line="360" w:lineRule="auto"/>
      </w:pPr>
      <w:r>
        <w:rPr>
          <w:rFonts w:ascii="source serif 4" w:eastAsia="source serif 4" w:hAnsi="source serif 4" w:cs="source serif 4"/>
          <w:color w:val="000000"/>
        </w:rPr>
        <w:t xml:space="preserve">Your heuristic MS reinforcement costs should, for Germany, be in roughly the </w:t>
      </w:r>
      <w:r>
        <w:rPr>
          <w:rFonts w:ascii="source serif 4" w:eastAsia="source serif 4" w:hAnsi="source serif 4" w:cs="source serif 4"/>
          <w:b/>
          <w:color w:val="000000"/>
        </w:rPr>
        <w:t>130–160 k€/km</w:t>
      </w:r>
      <w:r>
        <w:rPr>
          <w:rFonts w:ascii="source serif 4" w:eastAsia="source serif 4" w:hAnsi="source serif 4" w:cs="source serif 4"/>
          <w:color w:val="000000"/>
        </w:rPr>
        <w:t xml:space="preserve"> range for cable and 1–3 M€ for substation upgrades, scaled to transformer rating.</w:t>
      </w:r>
      <w:bookmarkStart w:id="41" w:name="fnref3_32"/>
      <w:bookmarkEnd w:id="41"/>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25" w14:textId="77777777" w:rsidR="00796E0E" w:rsidRDefault="00000000">
      <w:pPr>
        <w:spacing w:before="210" w:after="0" w:line="360" w:lineRule="auto"/>
      </w:pPr>
      <w:r>
        <w:rPr>
          <w:noProof/>
        </w:rPr>
      </w:r>
      <w:r>
        <w:rPr>
          <w:noProof/>
        </w:rPr>
        <w:pict w14:anchorId="0E95FFC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F26" w14:textId="77777777" w:rsidR="00796E0E" w:rsidRDefault="00000000">
      <w:pPr>
        <w:spacing w:before="315" w:after="105" w:line="360" w:lineRule="auto"/>
        <w:ind w:left="-30"/>
      </w:pPr>
      <w:bookmarkStart w:id="42" w:name="macro_level_cost_benchmarks_for_s_b01485"/>
      <w:r>
        <w:rPr>
          <w:rFonts w:ascii="source serif 4" w:eastAsia="source serif 4" w:hAnsi="source serif 4" w:cs="source serif 4"/>
          <w:b/>
          <w:color w:val="000000"/>
          <w:sz w:val="24"/>
        </w:rPr>
        <w:t>Macro‑level cost benchmarks (for sanity checking your totals)</w:t>
      </w:r>
      <w:bookmarkEnd w:id="42"/>
    </w:p>
    <w:p w14:paraId="0E95FF27" w14:textId="77777777" w:rsidR="00796E0E" w:rsidRDefault="00000000">
      <w:pPr>
        <w:spacing w:after="210" w:line="360" w:lineRule="auto"/>
      </w:pPr>
      <w:r>
        <w:rPr>
          <w:rFonts w:ascii="source serif 4" w:eastAsia="source serif 4" w:hAnsi="source serif 4" w:cs="source serif 4"/>
          <w:color w:val="000000"/>
        </w:rPr>
        <w:t xml:space="preserve">To check whether your model’s </w:t>
      </w:r>
      <w:r>
        <w:rPr>
          <w:rFonts w:ascii="source serif 4" w:eastAsia="source serif 4" w:hAnsi="source serif 4" w:cs="source serif 4"/>
          <w:i/>
          <w:color w:val="000000"/>
        </w:rPr>
        <w:t>aggregate</w:t>
      </w:r>
      <w:r>
        <w:rPr>
          <w:rFonts w:ascii="source serif 4" w:eastAsia="source serif 4" w:hAnsi="source serif 4" w:cs="source serif 4"/>
          <w:color w:val="000000"/>
        </w:rPr>
        <w:t xml:space="preserve"> cost outputs are reasonable, you can compare them with national and regional projections.</w:t>
      </w:r>
    </w:p>
    <w:p w14:paraId="0E95FF28" w14:textId="77777777" w:rsidR="00796E0E" w:rsidRDefault="00000000">
      <w:pPr>
        <w:numPr>
          <w:ilvl w:val="0"/>
          <w:numId w:val="6"/>
        </w:numPr>
        <w:spacing w:after="210" w:line="360" w:lineRule="auto"/>
      </w:pPr>
      <w:r w:rsidRPr="003B595D">
        <w:rPr>
          <w:rFonts w:ascii="source serif 4" w:eastAsia="source serif 4" w:hAnsi="source serif 4" w:cs="source serif 4"/>
          <w:b/>
          <w:color w:val="000000"/>
          <w:lang w:val="de-DE"/>
        </w:rPr>
        <w:t>Bundesnetzagentur “Zustand und Ausbau der Verteilernetze 2022”</w:t>
      </w:r>
      <w:r w:rsidRPr="003B595D">
        <w:rPr>
          <w:rFonts w:ascii="source serif 4" w:eastAsia="source serif 4" w:hAnsi="source serif 4" w:cs="source serif 4"/>
          <w:color w:val="000000"/>
          <w:lang w:val="de-DE"/>
        </w:rPr>
        <w:br/>
        <w:t xml:space="preserve">For 2022–2032, the BNetzA reports an expected Verteilnetz‑ausbaubedarf of </w:t>
      </w:r>
      <w:r w:rsidRPr="003B595D">
        <w:rPr>
          <w:rFonts w:ascii="source serif 4" w:eastAsia="source serif 4" w:hAnsi="source serif 4" w:cs="source serif 4"/>
          <w:b/>
          <w:color w:val="000000"/>
          <w:lang w:val="de-DE"/>
        </w:rPr>
        <w:t>42.27 bn €</w:t>
      </w:r>
      <w:r w:rsidRPr="003B595D">
        <w:rPr>
          <w:rFonts w:ascii="source serif 4" w:eastAsia="source serif 4" w:hAnsi="source serif 4" w:cs="source serif 4"/>
          <w:color w:val="000000"/>
          <w:lang w:val="de-DE"/>
        </w:rPr>
        <w:t xml:space="preserve"> across all voltage levels.</w:t>
      </w:r>
      <w:bookmarkStart w:id="43" w:name="fnref4_1"/>
      <w:bookmarkEnd w:id="43"/>
      <w:r>
        <w:fldChar w:fldCharType="begin"/>
      </w:r>
      <w:r w:rsidRPr="003B595D">
        <w:rPr>
          <w:lang w:val="de-DE"/>
        </w:rPr>
        <w:instrText>HYPERLINK \l "fn4" \h</w:instrText>
      </w:r>
      <w:r>
        <w:fldChar w:fldCharType="separate"/>
      </w:r>
      <w:r>
        <w:rPr>
          <w:rFonts w:ascii="source sans 3" w:eastAsia="source sans 3" w:hAnsi="source sans 3" w:cs="source sans 3"/>
          <w:u w:val="single"/>
          <w:vertAlign w:val="superscript"/>
        </w:rPr>
        <w:t>[4]</w:t>
      </w:r>
      <w:r>
        <w:fldChar w:fldCharType="end"/>
      </w:r>
      <w:bookmarkStart w:id="44" w:name="fnref5"/>
      <w:bookmarkEnd w:id="44"/>
      <w:r>
        <w:fldChar w:fldCharType="begin"/>
      </w:r>
      <w:r>
        <w:instrText>HYPERLINK \l "fn5" \h</w:instrText>
      </w:r>
      <w:r>
        <w:fldChar w:fldCharType="separate"/>
      </w:r>
      <w:r>
        <w:rPr>
          <w:rFonts w:ascii="source sans 3" w:eastAsia="source sans 3" w:hAnsi="source sans 3" w:cs="source sans 3"/>
          <w:u w:val="single"/>
          <w:vertAlign w:val="superscript"/>
        </w:rPr>
        <w:t>[5]</w:t>
      </w:r>
      <w:r>
        <w:fldChar w:fldCharType="end"/>
      </w:r>
      <w:r>
        <w:rPr>
          <w:rFonts w:ascii="source serif 4" w:eastAsia="source serif 4" w:hAnsi="source serif 4" w:cs="source serif 4"/>
          <w:color w:val="000000"/>
        </w:rPr>
        <w:br/>
        <w:t xml:space="preserve">Of this, </w:t>
      </w:r>
      <w:r>
        <w:rPr>
          <w:rFonts w:ascii="source serif 4" w:eastAsia="source serif 4" w:hAnsi="source serif 4" w:cs="source serif 4"/>
          <w:b/>
          <w:color w:val="000000"/>
        </w:rPr>
        <w:t>16.42 bn €</w:t>
      </w:r>
      <w:r>
        <w:rPr>
          <w:rFonts w:ascii="source serif 4" w:eastAsia="source serif 4" w:hAnsi="source serif 4" w:cs="source serif 4"/>
          <w:color w:val="000000"/>
        </w:rPr>
        <w:t xml:space="preserve"> stems from identified individual measures, while </w:t>
      </w:r>
      <w:r>
        <w:rPr>
          <w:rFonts w:ascii="source serif 4" w:eastAsia="source serif 4" w:hAnsi="source serif 4" w:cs="source serif 4"/>
          <w:b/>
          <w:color w:val="000000"/>
        </w:rPr>
        <w:t>25.84 bn €</w:t>
      </w:r>
      <w:r>
        <w:rPr>
          <w:rFonts w:ascii="source serif 4" w:eastAsia="source serif 4" w:hAnsi="source serif 4" w:cs="source serif 4"/>
          <w:color w:val="000000"/>
        </w:rPr>
        <w:t xml:space="preserve"> comes from aggregated 10‑year planning of lower network levels (MS/NS), derived from DSOs’ experience‑based heuristics rather than detailed project lists.</w:t>
      </w:r>
      <w:bookmarkStart w:id="45" w:name="fnref5_1"/>
      <w:bookmarkEnd w:id="45"/>
      <w:r>
        <w:fldChar w:fldCharType="begin"/>
      </w:r>
      <w:r>
        <w:instrText>HYPERLINK \l "fn5" \h</w:instrText>
      </w:r>
      <w:r>
        <w:fldChar w:fldCharType="separate"/>
      </w:r>
      <w:r>
        <w:rPr>
          <w:rFonts w:ascii="source sans 3" w:eastAsia="source sans 3" w:hAnsi="source sans 3" w:cs="source sans 3"/>
          <w:u w:val="single"/>
          <w:vertAlign w:val="superscript"/>
        </w:rPr>
        <w:t>[5]</w:t>
      </w:r>
      <w:r>
        <w:fldChar w:fldCharType="end"/>
      </w:r>
      <w:bookmarkStart w:id="46" w:name="fnref4_2"/>
      <w:bookmarkEnd w:id="46"/>
      <w:r>
        <w:fldChar w:fldCharType="begin"/>
      </w:r>
      <w:r>
        <w:instrText>HYPERLINK \l "fn4" \h</w:instrText>
      </w:r>
      <w:r>
        <w:fldChar w:fldCharType="separate"/>
      </w:r>
      <w:r>
        <w:rPr>
          <w:rFonts w:ascii="source sans 3" w:eastAsia="source sans 3" w:hAnsi="source sans 3" w:cs="source sans 3"/>
          <w:u w:val="single"/>
          <w:vertAlign w:val="superscript"/>
        </w:rPr>
        <w:t>[4]</w:t>
      </w:r>
      <w:r>
        <w:fldChar w:fldCharType="end"/>
      </w:r>
      <w:r>
        <w:rPr>
          <w:rFonts w:ascii="source serif 4" w:eastAsia="source serif 4" w:hAnsi="source serif 4" w:cs="source serif 4"/>
          <w:color w:val="000000"/>
        </w:rPr>
        <w:br/>
        <w:t>This explicitly confirms that heuristic cost models similar to yours are standard and accepted at regulatory level, especially for LV grids where detailed planning is too short‑term and granular.</w:t>
      </w:r>
      <w:bookmarkStart w:id="47" w:name="fnref4_3"/>
      <w:bookmarkEnd w:id="47"/>
      <w:r>
        <w:fldChar w:fldCharType="begin"/>
      </w:r>
      <w:r>
        <w:instrText>HYPERLINK \l "fn4" \h</w:instrText>
      </w:r>
      <w:r>
        <w:fldChar w:fldCharType="separate"/>
      </w:r>
      <w:r>
        <w:rPr>
          <w:rFonts w:ascii="source sans 3" w:eastAsia="source sans 3" w:hAnsi="source sans 3" w:cs="source sans 3"/>
          <w:u w:val="single"/>
          <w:vertAlign w:val="superscript"/>
        </w:rPr>
        <w:t>[4]</w:t>
      </w:r>
      <w:r>
        <w:fldChar w:fldCharType="end"/>
      </w:r>
    </w:p>
    <w:p w14:paraId="0E95FF29" w14:textId="77777777" w:rsidR="00796E0E" w:rsidRDefault="00000000">
      <w:pPr>
        <w:numPr>
          <w:ilvl w:val="0"/>
          <w:numId w:val="6"/>
        </w:numPr>
        <w:spacing w:after="210" w:line="360" w:lineRule="auto"/>
      </w:pPr>
      <w:r>
        <w:rPr>
          <w:rFonts w:ascii="source serif 4" w:eastAsia="source serif 4" w:hAnsi="source serif 4" w:cs="source serif 4"/>
          <w:b/>
          <w:color w:val="000000"/>
        </w:rPr>
        <w:t>Verteilnetzstudie Baden‑Württemberg (2017)</w:t>
      </w:r>
      <w:r>
        <w:rPr>
          <w:rFonts w:ascii="source serif 4" w:eastAsia="source serif 4" w:hAnsi="source serif 4" w:cs="source serif 4"/>
          <w:color w:val="000000"/>
        </w:rPr>
        <w:br/>
        <w:t xml:space="preserve">For Baden‑Württemberg alone, the study finds cumulative MS+NS reinforcement investments in the </w:t>
      </w:r>
      <w:r>
        <w:rPr>
          <w:rFonts w:ascii="source serif 4" w:eastAsia="source serif 4" w:hAnsi="source serif 4" w:cs="source serif 4"/>
          <w:color w:val="000000"/>
        </w:rPr>
        <w:lastRenderedPageBreak/>
        <w:t>low single‑digit billion‑euro range by 2030, depending on scenario and use of flexibility, with NS investment roughly one quarter to one third of total.</w:t>
      </w:r>
      <w:bookmarkStart w:id="48" w:name="fnref3_33"/>
      <w:bookmarkEnd w:id="48"/>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r>
        <w:rPr>
          <w:rFonts w:ascii="source serif 4" w:eastAsia="source serif 4" w:hAnsi="source serif 4" w:cs="source serif 4"/>
          <w:color w:val="000000"/>
        </w:rPr>
        <w:br/>
        <w:t>Scenario variants (e.g. Spitzenkappung, rONT, Sektorenkopplung) change the NS investment by up to ±40 %, showing realistic sensitivity bands your model should also capture.</w:t>
      </w:r>
      <w:bookmarkStart w:id="49" w:name="fnref3_34"/>
      <w:bookmarkEnd w:id="49"/>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2A" w14:textId="77777777" w:rsidR="00796E0E" w:rsidRDefault="00000000">
      <w:pPr>
        <w:numPr>
          <w:ilvl w:val="0"/>
          <w:numId w:val="6"/>
        </w:numPr>
        <w:spacing w:after="210" w:line="360" w:lineRule="auto"/>
      </w:pPr>
      <w:r>
        <w:rPr>
          <w:rFonts w:ascii="source serif 4" w:eastAsia="source serif 4" w:hAnsi="source serif 4" w:cs="source serif 4"/>
          <w:b/>
          <w:color w:val="000000"/>
        </w:rPr>
        <w:t>WEI202 / DGLA 2045 analysis</w:t>
      </w:r>
      <w:r>
        <w:rPr>
          <w:rFonts w:ascii="source serif 4" w:eastAsia="source serif 4" w:hAnsi="source serif 4" w:cs="source serif 4"/>
          <w:color w:val="000000"/>
        </w:rPr>
        <w:br/>
        <w:t>Extrapolating characteristic LV grids to Germany, WEI202 finds that ambitious electrification with limited flexibility leads to LV reinforcement needs (transformers + cables) that are roughly twice those in conservative scenarios, with strong regional variation but no absurd outliers compared to dena/BNetzA values.</w:t>
      </w:r>
      <w:bookmarkStart w:id="50" w:name="fnref1_9"/>
      <w:bookmarkEnd w:id="50"/>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F2B" w14:textId="77777777" w:rsidR="00796E0E" w:rsidRDefault="00000000">
      <w:pPr>
        <w:spacing w:after="210" w:line="360" w:lineRule="auto"/>
      </w:pPr>
      <w:r>
        <w:rPr>
          <w:rFonts w:ascii="source serif 4" w:eastAsia="source serif 4" w:hAnsi="source serif 4" w:cs="source serif 4"/>
          <w:color w:val="000000"/>
        </w:rPr>
        <w:t>If your national LV cost results are broadly compatible with:</w:t>
      </w:r>
    </w:p>
    <w:p w14:paraId="0E95FF2C" w14:textId="77777777" w:rsidR="00796E0E" w:rsidRDefault="00000000">
      <w:pPr>
        <w:numPr>
          <w:ilvl w:val="0"/>
          <w:numId w:val="7"/>
        </w:numPr>
        <w:spacing w:before="105" w:after="105" w:line="360" w:lineRule="auto"/>
      </w:pPr>
      <w:r>
        <w:rPr>
          <w:rFonts w:ascii="source serif 4" w:eastAsia="source serif 4" w:hAnsi="source serif 4" w:cs="source serif 4"/>
          <w:color w:val="000000"/>
        </w:rPr>
        <w:t>tens of billions of euros nationwide over two decades, and</w:t>
      </w:r>
    </w:p>
    <w:p w14:paraId="0E95FF2D" w14:textId="77777777" w:rsidR="00796E0E" w:rsidRDefault="00000000">
      <w:pPr>
        <w:numPr>
          <w:ilvl w:val="0"/>
          <w:numId w:val="7"/>
        </w:numPr>
        <w:spacing w:before="105" w:after="105" w:line="360" w:lineRule="auto"/>
      </w:pPr>
      <w:r>
        <w:rPr>
          <w:rFonts w:ascii="source serif 4" w:eastAsia="source serif 4" w:hAnsi="source serif 4" w:cs="source serif 4"/>
          <w:color w:val="000000"/>
        </w:rPr>
        <w:t xml:space="preserve">NS accounting for, say, </w:t>
      </w:r>
      <w:r>
        <w:rPr>
          <w:rFonts w:ascii="source serif 4" w:eastAsia="source serif 4" w:hAnsi="source serif 4" w:cs="source serif 4"/>
          <w:b/>
          <w:color w:val="000000"/>
        </w:rPr>
        <w:t>20–40 %</w:t>
      </w:r>
      <w:r>
        <w:rPr>
          <w:rFonts w:ascii="source serif 4" w:eastAsia="source serif 4" w:hAnsi="source serif 4" w:cs="source serif 4"/>
          <w:color w:val="000000"/>
        </w:rPr>
        <w:t xml:space="preserve"> of total distribution grid reinforcement cost,</w:t>
      </w:r>
    </w:p>
    <w:p w14:paraId="0E95FF2E" w14:textId="77777777" w:rsidR="00796E0E" w:rsidRDefault="00000000">
      <w:pPr>
        <w:spacing w:after="210" w:line="360" w:lineRule="auto"/>
      </w:pPr>
      <w:r>
        <w:rPr>
          <w:rFonts w:ascii="source serif 4" w:eastAsia="source serif 4" w:hAnsi="source serif 4" w:cs="source serif 4"/>
          <w:color w:val="000000"/>
        </w:rPr>
        <w:t>then your macro‑level heuristic cost results are in line with these official benchmarks.</w:t>
      </w:r>
      <w:bookmarkStart w:id="51" w:name="fnref4_4"/>
      <w:bookmarkEnd w:id="51"/>
      <w:r>
        <w:fldChar w:fldCharType="begin"/>
      </w:r>
      <w:r>
        <w:instrText>HYPERLINK \l "fn4" \h</w:instrText>
      </w:r>
      <w:r>
        <w:fldChar w:fldCharType="separate"/>
      </w:r>
      <w:r>
        <w:rPr>
          <w:rFonts w:ascii="source sans 3" w:eastAsia="source sans 3" w:hAnsi="source sans 3" w:cs="source sans 3"/>
          <w:u w:val="single"/>
          <w:vertAlign w:val="superscript"/>
        </w:rPr>
        <w:t>[4]</w:t>
      </w:r>
      <w:r>
        <w:fldChar w:fldCharType="end"/>
      </w:r>
      <w:bookmarkStart w:id="52" w:name="fnref1_10"/>
      <w:bookmarkEnd w:id="52"/>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53" w:name="fnref3_35"/>
      <w:bookmarkEnd w:id="53"/>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2F" w14:textId="77777777" w:rsidR="00796E0E" w:rsidRDefault="00000000">
      <w:pPr>
        <w:spacing w:before="210" w:after="0" w:line="360" w:lineRule="auto"/>
      </w:pPr>
      <w:r>
        <w:rPr>
          <w:noProof/>
        </w:rPr>
      </w:r>
      <w:r>
        <w:rPr>
          <w:noProof/>
        </w:rPr>
        <w:pict w14:anchorId="0E95FFC3">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F30" w14:textId="77777777" w:rsidR="00796E0E" w:rsidRDefault="00000000">
      <w:pPr>
        <w:spacing w:before="315" w:after="105" w:line="360" w:lineRule="auto"/>
        <w:ind w:left="-30"/>
      </w:pPr>
      <w:bookmarkStart w:id="54" w:name="what_to_adjust_or_confirm_in_your_be380f"/>
      <w:r>
        <w:rPr>
          <w:rFonts w:ascii="source serif 4" w:eastAsia="source serif 4" w:hAnsi="source serif 4" w:cs="source serif 4"/>
          <w:b/>
          <w:color w:val="000000"/>
          <w:sz w:val="24"/>
        </w:rPr>
        <w:t>What to adjust or confirm in your heuristic model</w:t>
      </w:r>
      <w:bookmarkEnd w:id="54"/>
    </w:p>
    <w:p w14:paraId="0E95FF31" w14:textId="77777777" w:rsidR="00796E0E" w:rsidRDefault="00000000">
      <w:pPr>
        <w:spacing w:before="315" w:after="105" w:line="360" w:lineRule="auto"/>
        <w:ind w:left="-30"/>
      </w:pPr>
      <w:bookmarkStart w:id="55" w:name="bm_1_distinguish_first_vs_subsequ_e57419"/>
      <w:r>
        <w:rPr>
          <w:rFonts w:ascii="source serif 4" w:eastAsia="source serif 4" w:hAnsi="source serif 4" w:cs="source serif 4"/>
          <w:b/>
          <w:color w:val="000000"/>
          <w:sz w:val="24"/>
        </w:rPr>
        <w:t>1. Distinguish first vs subsequent cable reinforcements</w:t>
      </w:r>
      <w:bookmarkEnd w:id="55"/>
    </w:p>
    <w:p w14:paraId="0E95FF32" w14:textId="77777777" w:rsidR="00796E0E" w:rsidRDefault="00000000">
      <w:pPr>
        <w:spacing w:after="210" w:line="360" w:lineRule="auto"/>
      </w:pPr>
      <w:r>
        <w:rPr>
          <w:rFonts w:ascii="source serif 4" w:eastAsia="source serif 4" w:hAnsi="source serif 4" w:cs="source serif 4"/>
          <w:color w:val="000000"/>
        </w:rPr>
        <w:t>Given the strong cost contrast in the sources, your LV cost model should:</w:t>
      </w:r>
    </w:p>
    <w:p w14:paraId="0E95FF33" w14:textId="77777777" w:rsidR="00796E0E" w:rsidRDefault="00000000">
      <w:pPr>
        <w:numPr>
          <w:ilvl w:val="0"/>
          <w:numId w:val="8"/>
        </w:numPr>
        <w:spacing w:before="105" w:after="105" w:line="360" w:lineRule="auto"/>
      </w:pPr>
      <w:r>
        <w:rPr>
          <w:rFonts w:ascii="source serif 4" w:eastAsia="source serif 4" w:hAnsi="source serif 4" w:cs="source serif 4"/>
          <w:color w:val="000000"/>
        </w:rPr>
        <w:t xml:space="preserve">Use </w:t>
      </w:r>
      <w:r>
        <w:rPr>
          <w:rFonts w:ascii="source serif 4" w:eastAsia="source serif 4" w:hAnsi="source serif 4" w:cs="source serif 4"/>
          <w:i/>
          <w:color w:val="000000"/>
        </w:rPr>
        <w:t>two</w:t>
      </w:r>
      <w:r>
        <w:rPr>
          <w:rFonts w:ascii="source serif 4" w:eastAsia="source serif 4" w:hAnsi="source serif 4" w:cs="source serif 4"/>
          <w:color w:val="000000"/>
        </w:rPr>
        <w:t xml:space="preserve"> cost categories for cables per route:</w:t>
      </w:r>
    </w:p>
    <w:p w14:paraId="0E95FF34" w14:textId="77777777" w:rsidR="00796E0E" w:rsidRDefault="00000000">
      <w:pPr>
        <w:numPr>
          <w:ilvl w:val="1"/>
          <w:numId w:val="8"/>
        </w:numPr>
        <w:spacing w:before="105" w:after="105" w:line="360" w:lineRule="auto"/>
      </w:pPr>
      <w:r>
        <w:rPr>
          <w:rFonts w:ascii="source serif 4" w:eastAsia="source serif 4" w:hAnsi="source serif 4" w:cs="source serif 4"/>
          <w:b/>
          <w:color w:val="000000"/>
        </w:rPr>
        <w:t>First reinforcement (with Tiefbau)</w:t>
      </w:r>
      <w:r>
        <w:rPr>
          <w:rFonts w:ascii="source serif 4" w:eastAsia="source serif 4" w:hAnsi="source serif 4" w:cs="source serif 4"/>
          <w:color w:val="000000"/>
        </w:rPr>
        <w:t>: ~80–200 k€/km depending on settlement type and cross‑section.</w:t>
      </w:r>
      <w:bookmarkStart w:id="56" w:name="fnref2_29"/>
      <w:bookmarkEnd w:id="56"/>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57" w:name="fnref3_36"/>
      <w:bookmarkEnd w:id="57"/>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35" w14:textId="77777777" w:rsidR="00796E0E" w:rsidRDefault="00000000">
      <w:pPr>
        <w:numPr>
          <w:ilvl w:val="1"/>
          <w:numId w:val="8"/>
        </w:numPr>
        <w:spacing w:before="105" w:after="105" w:line="360" w:lineRule="auto"/>
      </w:pPr>
      <w:r>
        <w:rPr>
          <w:rFonts w:ascii="source serif 4" w:eastAsia="source serif 4" w:hAnsi="source serif 4" w:cs="source serif 4"/>
          <w:b/>
          <w:color w:val="000000"/>
        </w:rPr>
        <w:t>Further parallel cables (using empty pipes)</w:t>
      </w:r>
      <w:r>
        <w:rPr>
          <w:rFonts w:ascii="source serif 4" w:eastAsia="source serif 4" w:hAnsi="source serif 4" w:cs="source serif 4"/>
          <w:color w:val="000000"/>
        </w:rPr>
        <w:t>: ~20–60 k€/km.</w:t>
      </w:r>
      <w:bookmarkStart w:id="58" w:name="fnref2_30"/>
      <w:bookmarkEnd w:id="58"/>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36" w14:textId="77777777" w:rsidR="00796E0E" w:rsidRDefault="00000000">
      <w:pPr>
        <w:numPr>
          <w:ilvl w:val="0"/>
          <w:numId w:val="8"/>
        </w:numPr>
        <w:spacing w:before="105" w:after="105" w:line="360" w:lineRule="auto"/>
      </w:pPr>
      <w:r>
        <w:rPr>
          <w:rFonts w:ascii="source serif 4" w:eastAsia="source serif 4" w:hAnsi="source serif 4" w:cs="source serif 4"/>
          <w:color w:val="000000"/>
        </w:rPr>
        <w:t>Couple the transition between these categories to a state variable: “empty ducts available yes/no.”</w:t>
      </w:r>
    </w:p>
    <w:p w14:paraId="0E95FF37" w14:textId="77777777" w:rsidR="00796E0E" w:rsidRDefault="00000000">
      <w:pPr>
        <w:spacing w:after="210" w:line="360" w:lineRule="auto"/>
      </w:pPr>
      <w:r>
        <w:rPr>
          <w:rFonts w:ascii="source serif 4" w:eastAsia="source serif 4" w:hAnsi="source serif 4" w:cs="source serif 4"/>
          <w:color w:val="000000"/>
        </w:rPr>
        <w:t>This makes your “no street reopening” assumption valid for the second category while keeping the first realistic.</w:t>
      </w:r>
      <w:bookmarkStart w:id="59" w:name="fnref1_11"/>
      <w:bookmarkEnd w:id="59"/>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60" w:name="fnref2_31"/>
      <w:bookmarkEnd w:id="60"/>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38" w14:textId="77777777" w:rsidR="00796E0E" w:rsidRDefault="00000000">
      <w:pPr>
        <w:spacing w:before="315" w:after="105" w:line="360" w:lineRule="auto"/>
        <w:ind w:left="-30"/>
      </w:pPr>
      <w:bookmarkStart w:id="61" w:name="bm_2_transformer_cost_and_sizing"/>
      <w:r>
        <w:rPr>
          <w:rFonts w:ascii="source serif 4" w:eastAsia="source serif 4" w:hAnsi="source serif 4" w:cs="source serif 4"/>
          <w:b/>
          <w:color w:val="000000"/>
          <w:sz w:val="24"/>
        </w:rPr>
        <w:t>2. Transformer cost and sizing</w:t>
      </w:r>
      <w:bookmarkEnd w:id="61"/>
    </w:p>
    <w:p w14:paraId="0E95FF39" w14:textId="77777777" w:rsidR="00796E0E" w:rsidRDefault="00000000">
      <w:pPr>
        <w:spacing w:after="210" w:line="360" w:lineRule="auto"/>
      </w:pPr>
      <w:r>
        <w:rPr>
          <w:rFonts w:ascii="source serif 4" w:eastAsia="source serif 4" w:hAnsi="source serif 4" w:cs="source serif 4"/>
          <w:color w:val="000000"/>
        </w:rPr>
        <w:t>The ranges in BW‑study and PuBStadt support the following heuristics for LV transformers:</w:t>
      </w:r>
    </w:p>
    <w:p w14:paraId="0E95FF3A" w14:textId="77777777" w:rsidR="00796E0E" w:rsidRDefault="00000000">
      <w:pPr>
        <w:numPr>
          <w:ilvl w:val="0"/>
          <w:numId w:val="9"/>
        </w:numPr>
        <w:spacing w:before="105" w:after="105" w:line="360" w:lineRule="auto"/>
      </w:pPr>
      <w:r>
        <w:rPr>
          <w:rFonts w:ascii="source serif 4" w:eastAsia="source serif 4" w:hAnsi="source serif 4" w:cs="source serif 4"/>
          <w:b/>
          <w:color w:val="000000"/>
        </w:rPr>
        <w:lastRenderedPageBreak/>
        <w:t>Standard ONT sizes:</w:t>
      </w:r>
      <w:r>
        <w:rPr>
          <w:rFonts w:ascii="source serif 4" w:eastAsia="source serif 4" w:hAnsi="source serif 4" w:cs="source serif 4"/>
          <w:color w:val="000000"/>
        </w:rPr>
        <w:t xml:space="preserve"> 630 kVA as the historical standard, with 800 kVA and 1000 kVA increasingly used in progressive electrification scenarios.</w:t>
      </w:r>
      <w:bookmarkStart w:id="62" w:name="fnref2_32"/>
      <w:bookmarkEnd w:id="62"/>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3B" w14:textId="77777777" w:rsidR="00796E0E" w:rsidRDefault="00000000">
      <w:pPr>
        <w:numPr>
          <w:ilvl w:val="0"/>
          <w:numId w:val="9"/>
        </w:numPr>
        <w:spacing w:before="105" w:after="105" w:line="360" w:lineRule="auto"/>
      </w:pPr>
      <w:r>
        <w:rPr>
          <w:rFonts w:ascii="source serif 4" w:eastAsia="source serif 4" w:hAnsi="source serif 4" w:cs="source serif 4"/>
          <w:b/>
          <w:color w:val="000000"/>
        </w:rPr>
        <w:t>Costs:</w:t>
      </w:r>
    </w:p>
    <w:p w14:paraId="0E95FF3C" w14:textId="77777777" w:rsidR="00796E0E" w:rsidRDefault="00000000">
      <w:pPr>
        <w:numPr>
          <w:ilvl w:val="1"/>
          <w:numId w:val="9"/>
        </w:numPr>
        <w:spacing w:before="105" w:after="105" w:line="360" w:lineRule="auto"/>
      </w:pPr>
      <w:r>
        <w:rPr>
          <w:rFonts w:ascii="source serif 4" w:eastAsia="source serif 4" w:hAnsi="source serif 4" w:cs="source serif 4"/>
          <w:color w:val="000000"/>
        </w:rPr>
        <w:t>Replacement (same civil footprint): ~10–15 k€/unit.</w:t>
      </w:r>
      <w:bookmarkStart w:id="63" w:name="fnref3_37"/>
      <w:bookmarkEnd w:id="63"/>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64" w:name="fnref2_33"/>
      <w:bookmarkEnd w:id="64"/>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3D" w14:textId="77777777" w:rsidR="00796E0E" w:rsidRDefault="00000000">
      <w:pPr>
        <w:numPr>
          <w:ilvl w:val="1"/>
          <w:numId w:val="9"/>
        </w:numPr>
        <w:spacing w:before="105" w:after="105" w:line="360" w:lineRule="auto"/>
      </w:pPr>
      <w:r>
        <w:rPr>
          <w:rFonts w:ascii="source serif 4" w:eastAsia="source serif 4" w:hAnsi="source serif 4" w:cs="source serif 4"/>
          <w:color w:val="000000"/>
        </w:rPr>
        <w:t>New station including building and switchgear: ~60 k€ for NS ONS, up to 1.3–3.2 M€ at MS level depending on transformer rating.</w:t>
      </w:r>
      <w:bookmarkStart w:id="65" w:name="fnref2_34"/>
      <w:bookmarkEnd w:id="65"/>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66" w:name="fnref3_38"/>
      <w:bookmarkEnd w:id="66"/>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3E" w14:textId="77777777" w:rsidR="00796E0E" w:rsidRDefault="00000000">
      <w:pPr>
        <w:spacing w:after="210" w:line="360" w:lineRule="auto"/>
      </w:pPr>
      <w:r>
        <w:rPr>
          <w:rFonts w:ascii="source serif 4" w:eastAsia="source serif 4" w:hAnsi="source serif 4" w:cs="source serif 4"/>
          <w:color w:val="000000"/>
        </w:rPr>
        <w:t>If your transformer cost assumptions fall into these bands and you model the stepwise up‑sizing (e.g. 630→800→1000 kVA) plus occasional new station construction for heavily loaded grids, they are well grounded.</w:t>
      </w:r>
      <w:bookmarkStart w:id="67" w:name="fnref1_12"/>
      <w:bookmarkEnd w:id="67"/>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68" w:name="fnref3_39"/>
      <w:bookmarkEnd w:id="68"/>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69" w:name="fnref2_35"/>
      <w:bookmarkEnd w:id="69"/>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3F" w14:textId="77777777" w:rsidR="00796E0E" w:rsidRDefault="00000000">
      <w:pPr>
        <w:spacing w:before="315" w:after="105" w:line="360" w:lineRule="auto"/>
        <w:ind w:left="-30"/>
      </w:pPr>
      <w:bookmarkStart w:id="70" w:name="bm_3_urban_vs_rural_differentiation"/>
      <w:r>
        <w:rPr>
          <w:rFonts w:ascii="source serif 4" w:eastAsia="source serif 4" w:hAnsi="source serif 4" w:cs="source serif 4"/>
          <w:b/>
          <w:color w:val="000000"/>
          <w:sz w:val="24"/>
        </w:rPr>
        <w:t>3. Urban vs rural differentiation</w:t>
      </w:r>
      <w:bookmarkEnd w:id="70"/>
    </w:p>
    <w:p w14:paraId="0E95FF40" w14:textId="77777777" w:rsidR="00796E0E" w:rsidRDefault="00000000">
      <w:pPr>
        <w:spacing w:after="210" w:line="360" w:lineRule="auto"/>
      </w:pPr>
      <w:r>
        <w:rPr>
          <w:rFonts w:ascii="source serif 4" w:eastAsia="source serif 4" w:hAnsi="source serif 4" w:cs="source serif 4"/>
          <w:color w:val="000000"/>
        </w:rPr>
        <w:t>All major studies show significant cost and loading differences between rural, suburban, and urban LV grids.</w:t>
      </w:r>
      <w:bookmarkStart w:id="71" w:name="fnref1_13"/>
      <w:bookmarkEnd w:id="71"/>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72" w:name="fnref3_40"/>
      <w:bookmarkEnd w:id="72"/>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41" w14:textId="77777777" w:rsidR="00796E0E" w:rsidRDefault="00000000">
      <w:pPr>
        <w:numPr>
          <w:ilvl w:val="0"/>
          <w:numId w:val="10"/>
        </w:numPr>
        <w:spacing w:before="105" w:after="105" w:line="360" w:lineRule="auto"/>
      </w:pPr>
      <w:r>
        <w:rPr>
          <w:rFonts w:ascii="source serif 4" w:eastAsia="source serif 4" w:hAnsi="source serif 4" w:cs="source serif 4"/>
          <w:color w:val="000000"/>
        </w:rPr>
        <w:t>Rural grids: longer feeders, higher share of feed‑in issues (PV), and more expensive per‑grid reinforcement due to long cable lengths, but cable €/km can be somewhat lower than dense urban streets.</w:t>
      </w:r>
      <w:bookmarkStart w:id="73" w:name="fnref1_14"/>
      <w:bookmarkEnd w:id="73"/>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74" w:name="fnref3_41"/>
      <w:bookmarkEnd w:id="74"/>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42" w14:textId="77777777" w:rsidR="00796E0E" w:rsidRDefault="00000000">
      <w:pPr>
        <w:numPr>
          <w:ilvl w:val="0"/>
          <w:numId w:val="10"/>
        </w:numPr>
        <w:spacing w:before="105" w:after="105" w:line="360" w:lineRule="auto"/>
      </w:pPr>
      <w:r>
        <w:rPr>
          <w:rFonts w:ascii="source serif 4" w:eastAsia="source serif 4" w:hAnsi="source serif 4" w:cs="source serif 4"/>
          <w:color w:val="000000"/>
        </w:rPr>
        <w:t>Urban grids: shorter feeders, load‑driven expansion (EV, heat pumps), and higher unit costs due to complex Tiefbau, traffic management, and coordination with other utilities.</w:t>
      </w:r>
      <w:bookmarkStart w:id="75" w:name="fnref3_42"/>
      <w:bookmarkEnd w:id="75"/>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76" w:name="fnref2_36"/>
      <w:bookmarkEnd w:id="76"/>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43" w14:textId="77777777" w:rsidR="00796E0E" w:rsidRDefault="00000000">
      <w:pPr>
        <w:spacing w:after="210" w:line="360" w:lineRule="auto"/>
      </w:pPr>
      <w:r>
        <w:rPr>
          <w:rFonts w:ascii="source serif 4" w:eastAsia="source serif 4" w:hAnsi="source serif 4" w:cs="source serif 4"/>
          <w:color w:val="000000"/>
        </w:rPr>
        <w:t>At minimum, your heuristics should have distinct NS cable cost parameters for rural vs urban settlement types (e.g. 80–100 k€/km vs 125–200 k€/km).</w:t>
      </w:r>
      <w:bookmarkStart w:id="77" w:name="fnref2_37"/>
      <w:bookmarkEnd w:id="77"/>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78" w:name="fnref3_43"/>
      <w:bookmarkEnd w:id="78"/>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44" w14:textId="77777777" w:rsidR="00796E0E" w:rsidRDefault="00000000">
      <w:pPr>
        <w:spacing w:before="315" w:after="105" w:line="360" w:lineRule="auto"/>
        <w:ind w:left="-30"/>
      </w:pPr>
      <w:bookmarkStart w:id="79" w:name="bm_4_role_of_smart_measures_ront_9a8438"/>
      <w:r>
        <w:rPr>
          <w:rFonts w:ascii="source serif 4" w:eastAsia="source serif 4" w:hAnsi="source serif 4" w:cs="source serif 4"/>
          <w:b/>
          <w:color w:val="000000"/>
          <w:sz w:val="24"/>
        </w:rPr>
        <w:t>4. Role of smart measures (rONT, Spitzenkappung, 14a EnWG)</w:t>
      </w:r>
      <w:bookmarkEnd w:id="79"/>
    </w:p>
    <w:p w14:paraId="0E95FF45" w14:textId="77777777" w:rsidR="00796E0E" w:rsidRDefault="00000000">
      <w:pPr>
        <w:spacing w:after="210" w:line="360" w:lineRule="auto"/>
      </w:pPr>
      <w:r>
        <w:rPr>
          <w:rFonts w:ascii="source serif 4" w:eastAsia="source serif 4" w:hAnsi="source serif 4" w:cs="source serif 4"/>
          <w:color w:val="000000"/>
        </w:rPr>
        <w:t>Your word document already touches on flexibility measures; the attached sources give quantitative support:</w:t>
      </w:r>
    </w:p>
    <w:p w14:paraId="0E95FF46" w14:textId="77777777" w:rsidR="00796E0E" w:rsidRDefault="00000000">
      <w:pPr>
        <w:numPr>
          <w:ilvl w:val="0"/>
          <w:numId w:val="11"/>
        </w:numPr>
        <w:spacing w:before="105" w:after="105" w:line="360" w:lineRule="auto"/>
      </w:pPr>
      <w:r>
        <w:rPr>
          <w:rFonts w:ascii="source serif 4" w:eastAsia="source serif 4" w:hAnsi="source serif 4" w:cs="source serif 4"/>
          <w:color w:val="000000"/>
        </w:rPr>
        <w:t>rONT can reduce NS investment by &gt;30 % in a subset of nets where voltage issues dominate, but is cost‑effective in only 5–11 % of NS grids; elsewhere conventional reinforcement is cheaper.</w:t>
      </w:r>
      <w:bookmarkStart w:id="80" w:name="fnref3_44"/>
      <w:bookmarkEnd w:id="80"/>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81" w:name="fnref2_38"/>
      <w:bookmarkEnd w:id="81"/>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0E95FF47" w14:textId="77777777" w:rsidR="00796E0E" w:rsidRDefault="00000000">
      <w:pPr>
        <w:numPr>
          <w:ilvl w:val="0"/>
          <w:numId w:val="11"/>
        </w:numPr>
        <w:spacing w:before="105" w:after="105" w:line="360" w:lineRule="auto"/>
      </w:pPr>
      <w:r>
        <w:rPr>
          <w:rFonts w:ascii="source serif 4" w:eastAsia="source serif 4" w:hAnsi="source serif 4" w:cs="source serif 4"/>
          <w:color w:val="000000"/>
        </w:rPr>
        <w:t>Flächendeckende Spitzenkappung of generation reduces MV+NS reinforcement by up to ~25 %, at the cost of compensation payments and control infrastructure.</w:t>
      </w:r>
      <w:bookmarkStart w:id="82" w:name="fnref2_39"/>
      <w:bookmarkEnd w:id="82"/>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bookmarkStart w:id="83" w:name="fnref3_45"/>
      <w:bookmarkEnd w:id="83"/>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0E95FF48" w14:textId="77777777" w:rsidR="00796E0E" w:rsidRDefault="00000000">
      <w:pPr>
        <w:numPr>
          <w:ilvl w:val="0"/>
          <w:numId w:val="11"/>
        </w:numPr>
        <w:spacing w:before="105" w:after="105" w:line="360" w:lineRule="auto"/>
      </w:pPr>
      <w:r>
        <w:rPr>
          <w:rFonts w:ascii="source serif 4" w:eastAsia="source serif 4" w:hAnsi="source serif 4" w:cs="source serif 4"/>
          <w:color w:val="000000"/>
        </w:rPr>
        <w:t>14a EnWG‑based curative load management can delay LV expansion by ~5–6 years on average in ambitious scenarios, but does not fully replace the need for reinforcement.</w:t>
      </w:r>
      <w:bookmarkStart w:id="84" w:name="fnref1_15"/>
      <w:bookmarkEnd w:id="84"/>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0E95FF49" w14:textId="77777777" w:rsidR="00796E0E" w:rsidRDefault="00000000">
      <w:pPr>
        <w:spacing w:after="210" w:line="360" w:lineRule="auto"/>
      </w:pPr>
      <w:r>
        <w:rPr>
          <w:rFonts w:ascii="source serif 4" w:eastAsia="source serif 4" w:hAnsi="source serif 4" w:cs="source serif 4"/>
          <w:color w:val="000000"/>
        </w:rPr>
        <w:lastRenderedPageBreak/>
        <w:t xml:space="preserve">In your cost model, these mechanisms can be represented as </w:t>
      </w:r>
      <w:r>
        <w:rPr>
          <w:rFonts w:ascii="source serif 4" w:eastAsia="source serif 4" w:hAnsi="source serif 4" w:cs="source serif 4"/>
          <w:i/>
          <w:color w:val="000000"/>
        </w:rPr>
        <w:t>multipliers</w:t>
      </w:r>
      <w:r>
        <w:rPr>
          <w:rFonts w:ascii="source serif 4" w:eastAsia="source serif 4" w:hAnsi="source serif 4" w:cs="source serif 4"/>
          <w:color w:val="000000"/>
        </w:rPr>
        <w:t xml:space="preserve"> on required reinforcement volumes (and possibly additional control‑system cost terms), constrained by regulatory and customer‑acceptance limits.</w:t>
      </w:r>
      <w:bookmarkStart w:id="85" w:name="fnref1_16"/>
      <w:bookmarkEnd w:id="85"/>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86" w:name="fnref3_46"/>
      <w:bookmarkEnd w:id="86"/>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87" w:name="fnref2_40"/>
      <w:bookmarkEnd w:id="87"/>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6238F345" w14:textId="646F1AE0" w:rsidR="003B595D" w:rsidRPr="003B595D" w:rsidRDefault="003B595D" w:rsidP="003B595D">
      <w:pPr>
        <w:spacing w:before="315" w:after="105" w:line="360" w:lineRule="auto"/>
        <w:ind w:left="-30"/>
        <w:rPr>
          <w:rFonts w:ascii="source serif 4" w:eastAsia="source serif 4" w:hAnsi="source serif 4" w:cs="source serif 4"/>
          <w:b/>
          <w:color w:val="000000"/>
          <w:sz w:val="24"/>
        </w:rPr>
      </w:pPr>
      <w:r w:rsidRPr="003B595D">
        <w:rPr>
          <w:rFonts w:ascii="source serif 4" w:eastAsia="source serif 4" w:hAnsi="source serif 4" w:cs="source serif 4"/>
          <w:b/>
          <w:color w:val="000000"/>
          <w:sz w:val="24"/>
        </w:rPr>
        <w:t xml:space="preserve">5. </w:t>
      </w:r>
      <w:r>
        <w:rPr>
          <w:rFonts w:ascii="source serif 4" w:eastAsia="source serif 4" w:hAnsi="source serif 4" w:cs="source serif 4"/>
          <w:b/>
          <w:color w:val="000000"/>
          <w:sz w:val="24"/>
        </w:rPr>
        <w:t xml:space="preserve">How to estimate </w:t>
      </w:r>
      <w:r w:rsidR="005825B9">
        <w:rPr>
          <w:rFonts w:ascii="source serif 4" w:eastAsia="source serif 4" w:hAnsi="source serif 4" w:cs="source serif 4"/>
          <w:b/>
          <w:color w:val="000000"/>
          <w:sz w:val="24"/>
        </w:rPr>
        <w:t xml:space="preserve">trenching </w:t>
      </w:r>
      <w:r>
        <w:rPr>
          <w:rFonts w:ascii="source serif 4" w:eastAsia="source serif 4" w:hAnsi="source serif 4" w:cs="source serif 4"/>
          <w:b/>
          <w:color w:val="000000"/>
          <w:sz w:val="24"/>
        </w:rPr>
        <w:t>costs</w:t>
      </w:r>
    </w:p>
    <w:p w14:paraId="3B05372C" w14:textId="77777777" w:rsidR="003B595D" w:rsidRPr="003B595D" w:rsidRDefault="003B595D" w:rsidP="003B595D">
      <w:pPr>
        <w:spacing w:after="210" w:line="360" w:lineRule="auto"/>
      </w:pPr>
      <w:r w:rsidRPr="003B595D">
        <w:t xml:space="preserve">As far as the available official and scientific sources go, there are </w:t>
      </w:r>
      <w:r w:rsidRPr="003B595D">
        <w:rPr>
          <w:b/>
          <w:bCs/>
        </w:rPr>
        <w:t>no published percentage figures</w:t>
      </w:r>
      <w:r w:rsidRPr="003B595D">
        <w:t xml:space="preserve"> for how many LV grid routes in Germany already have spare ducts for parallel cables versus how often streets would need to be reopened.</w:t>
      </w:r>
    </w:p>
    <w:p w14:paraId="52225BD0" w14:textId="77777777" w:rsidR="003B595D" w:rsidRPr="003B595D" w:rsidRDefault="003B595D" w:rsidP="003B595D">
      <w:pPr>
        <w:spacing w:after="210" w:line="360" w:lineRule="auto"/>
        <w:rPr>
          <w:b/>
          <w:bCs/>
        </w:rPr>
      </w:pPr>
      <w:r w:rsidRPr="003B595D">
        <w:rPr>
          <w:b/>
          <w:bCs/>
        </w:rPr>
        <w:t>What is (and isn</w:t>
      </w:r>
      <w:r w:rsidRPr="003B595D">
        <w:rPr>
          <w:b/>
          <w:bCs/>
        </w:rPr>
        <w:t>’</w:t>
      </w:r>
      <w:r w:rsidRPr="003B595D">
        <w:rPr>
          <w:b/>
          <w:bCs/>
        </w:rPr>
        <w:t>t) statistically tracked</w:t>
      </w:r>
    </w:p>
    <w:p w14:paraId="0B2929AF" w14:textId="77777777" w:rsidR="003B595D" w:rsidRPr="003B595D" w:rsidRDefault="003B595D" w:rsidP="003B595D">
      <w:pPr>
        <w:numPr>
          <w:ilvl w:val="0"/>
          <w:numId w:val="15"/>
        </w:numPr>
        <w:spacing w:after="210" w:line="360" w:lineRule="auto"/>
      </w:pPr>
      <w:r w:rsidRPr="003B595D">
        <w:t xml:space="preserve">The </w:t>
      </w:r>
      <w:r w:rsidRPr="003B595D">
        <w:rPr>
          <w:b/>
          <w:bCs/>
        </w:rPr>
        <w:t xml:space="preserve">Bundesnetzagentur </w:t>
      </w:r>
      <w:r w:rsidRPr="003B595D">
        <w:rPr>
          <w:b/>
          <w:bCs/>
        </w:rPr>
        <w:t>“</w:t>
      </w:r>
      <w:r w:rsidRPr="003B595D">
        <w:rPr>
          <w:b/>
          <w:bCs/>
        </w:rPr>
        <w:t>Zustand und Ausbau der Verteilernetze</w:t>
      </w:r>
      <w:r w:rsidRPr="003B595D">
        <w:rPr>
          <w:b/>
          <w:bCs/>
        </w:rPr>
        <w:t>”</w:t>
      </w:r>
      <w:r w:rsidRPr="003B595D">
        <w:t xml:space="preserve"> reports collect data on cable lengths by voltage level, new build vs reinforcement, underground vs overhead, etc., but they </w:t>
      </w:r>
      <w:r w:rsidRPr="003B595D">
        <w:rPr>
          <w:b/>
          <w:bCs/>
        </w:rPr>
        <w:t xml:space="preserve">do not include an indicator for </w:t>
      </w:r>
      <w:r w:rsidRPr="003B595D">
        <w:rPr>
          <w:b/>
          <w:bCs/>
        </w:rPr>
        <w:t>“</w:t>
      </w:r>
      <w:r w:rsidRPr="003B595D">
        <w:rPr>
          <w:b/>
          <w:bCs/>
        </w:rPr>
        <w:t>Leerrohre vorhanden / nicht vorhanden</w:t>
      </w:r>
      <w:r w:rsidRPr="003B595D">
        <w:rPr>
          <w:b/>
          <w:bCs/>
        </w:rPr>
        <w:t>”</w:t>
      </w:r>
      <w:r w:rsidRPr="003B595D">
        <w:rPr>
          <w:b/>
          <w:bCs/>
        </w:rPr>
        <w:t xml:space="preserve"> in LV routes</w:t>
      </w:r>
      <w:r w:rsidRPr="003B595D">
        <w:t>.[</w:t>
      </w:r>
      <w:hyperlink r:id="rId7" w:history="1">
        <w:r w:rsidRPr="003B595D">
          <w:rPr>
            <w:rStyle w:val="Hyperlink"/>
          </w:rPr>
          <w:t>bundesnetzagentur</w:t>
        </w:r>
      </w:hyperlink>
      <w:r w:rsidRPr="003B595D">
        <w:t>]</w:t>
      </w:r>
    </w:p>
    <w:p w14:paraId="4530E05C" w14:textId="77777777" w:rsidR="003B595D" w:rsidRPr="003B595D" w:rsidRDefault="003B595D" w:rsidP="003B595D">
      <w:pPr>
        <w:numPr>
          <w:ilvl w:val="0"/>
          <w:numId w:val="15"/>
        </w:numPr>
        <w:spacing w:after="210" w:line="360" w:lineRule="auto"/>
      </w:pPr>
      <w:r w:rsidRPr="003B595D">
        <w:t xml:space="preserve">Systematic asset data on ducts (empty pipes alongside cables) exist only in </w:t>
      </w:r>
      <w:r w:rsidRPr="003B595D">
        <w:rPr>
          <w:b/>
          <w:bCs/>
        </w:rPr>
        <w:t>DSO</w:t>
      </w:r>
      <w:r w:rsidRPr="003B595D">
        <w:rPr>
          <w:b/>
          <w:bCs/>
        </w:rPr>
        <w:noBreakHyphen/>
        <w:t>internal GIS / asset registers</w:t>
      </w:r>
      <w:r w:rsidRPr="003B595D">
        <w:t xml:space="preserve"> and are not aggregated or published nationally.[</w:t>
      </w:r>
      <w:hyperlink r:id="rId8" w:history="1">
        <w:r w:rsidRPr="003B595D">
          <w:rPr>
            <w:rStyle w:val="Hyperlink"/>
          </w:rPr>
          <w:t>ppl-ai-file-upload.s3.amazonaws</w:t>
        </w:r>
      </w:hyperlink>
      <w:r w:rsidRPr="003B595D">
        <w:t>]</w:t>
      </w:r>
    </w:p>
    <w:p w14:paraId="7F1C15B1" w14:textId="77777777" w:rsidR="003B595D" w:rsidRPr="003B595D" w:rsidRDefault="003B595D" w:rsidP="003B595D">
      <w:pPr>
        <w:spacing w:after="210" w:line="360" w:lineRule="auto"/>
      </w:pPr>
      <w:r w:rsidRPr="003B595D">
        <w:t>So from national statistics you can derive, for example, that the majority of LV lines are underground cables, but not whether those trenches contain spare ducts for future parallel cables.[</w:t>
      </w:r>
      <w:hyperlink r:id="rId9" w:history="1">
        <w:r w:rsidRPr="003B595D">
          <w:rPr>
            <w:rStyle w:val="Hyperlink"/>
          </w:rPr>
          <w:t>enbw</w:t>
        </w:r>
      </w:hyperlink>
      <w:r w:rsidRPr="003B595D">
        <w:t>]</w:t>
      </w:r>
    </w:p>
    <w:p w14:paraId="73791332" w14:textId="77777777" w:rsidR="003B595D" w:rsidRPr="003B595D" w:rsidRDefault="003B595D" w:rsidP="003B595D">
      <w:pPr>
        <w:spacing w:after="210" w:line="360" w:lineRule="auto"/>
        <w:rPr>
          <w:b/>
          <w:bCs/>
        </w:rPr>
      </w:pPr>
      <w:r w:rsidRPr="003B595D">
        <w:rPr>
          <w:b/>
          <w:bCs/>
        </w:rPr>
        <w:t>What the planning literature says qualitatively</w:t>
      </w:r>
    </w:p>
    <w:p w14:paraId="06E25496" w14:textId="77777777" w:rsidR="003B595D" w:rsidRPr="003B595D" w:rsidRDefault="003B595D" w:rsidP="003B595D">
      <w:pPr>
        <w:spacing w:after="210" w:line="360" w:lineRule="auto"/>
      </w:pPr>
      <w:r w:rsidRPr="003B595D">
        <w:t xml:space="preserve">The attached studies and guidelines confirm that </w:t>
      </w:r>
      <w:r w:rsidRPr="003B595D">
        <w:rPr>
          <w:b/>
          <w:bCs/>
        </w:rPr>
        <w:t>laying ducts with the first reinforcement is recommended practice</w:t>
      </w:r>
      <w:r w:rsidRPr="003B595D">
        <w:t xml:space="preserve">, but they always describe this as a </w:t>
      </w:r>
      <w:r w:rsidRPr="003B595D">
        <w:rPr>
          <w:i/>
          <w:iCs/>
        </w:rPr>
        <w:t>planning principle</w:t>
      </w:r>
      <w:r w:rsidRPr="003B595D">
        <w:t xml:space="preserve"> rather than a quantified existing share:</w:t>
      </w:r>
    </w:p>
    <w:p w14:paraId="33D3B5DE" w14:textId="77777777" w:rsidR="003B595D" w:rsidRPr="003B595D" w:rsidRDefault="003B595D" w:rsidP="003B595D">
      <w:pPr>
        <w:numPr>
          <w:ilvl w:val="0"/>
          <w:numId w:val="16"/>
        </w:numPr>
        <w:spacing w:after="210" w:line="360" w:lineRule="auto"/>
      </w:pPr>
      <w:r w:rsidRPr="003B595D">
        <w:t>Wintzek</w:t>
      </w:r>
      <w:r w:rsidRPr="003B595D">
        <w:t>’</w:t>
      </w:r>
      <w:r w:rsidRPr="003B595D">
        <w:t xml:space="preserve">s urban LV guideline explicitly recommends that </w:t>
      </w:r>
      <w:r w:rsidRPr="003B595D">
        <w:rPr>
          <w:b/>
          <w:bCs/>
        </w:rPr>
        <w:t>when you open trenches in urban LV grids, you should lay empty pipes at the same time</w:t>
      </w:r>
      <w:r w:rsidRPr="003B595D">
        <w:t>, precisely to avoid repeated street reopening when parallel cables are needed later.[</w:t>
      </w:r>
      <w:hyperlink r:id="rId10" w:history="1">
        <w:r w:rsidRPr="003B595D">
          <w:rPr>
            <w:rStyle w:val="Hyperlink"/>
          </w:rPr>
          <w:t>ppl-ai-file-upload.s3.amazonaws</w:t>
        </w:r>
      </w:hyperlink>
      <w:r w:rsidRPr="003B595D">
        <w:t>]</w:t>
      </w:r>
    </w:p>
    <w:p w14:paraId="5BF4C20A" w14:textId="77777777" w:rsidR="003B595D" w:rsidRPr="003B595D" w:rsidRDefault="003B595D" w:rsidP="003B595D">
      <w:pPr>
        <w:numPr>
          <w:ilvl w:val="0"/>
          <w:numId w:val="16"/>
        </w:numPr>
        <w:spacing w:after="210" w:line="360" w:lineRule="auto"/>
      </w:pPr>
      <w:r w:rsidRPr="003B595D">
        <w:t>Fraunhofer</w:t>
      </w:r>
      <w:r w:rsidRPr="003B595D">
        <w:t>’</w:t>
      </w:r>
      <w:r w:rsidRPr="003B595D">
        <w:t xml:space="preserve">s 2025 study on future distribution grid planning notes that many DSOs already </w:t>
      </w:r>
      <w:r w:rsidRPr="003B595D">
        <w:t>“</w:t>
      </w:r>
      <w:r w:rsidRPr="003B595D">
        <w:t>verlegen zus</w:t>
      </w:r>
      <w:r w:rsidRPr="003B595D">
        <w:t>ä</w:t>
      </w:r>
      <w:r w:rsidRPr="003B595D">
        <w:t>tzliche Leerrohre oder halten Fl</w:t>
      </w:r>
      <w:r w:rsidRPr="003B595D">
        <w:t>ä</w:t>
      </w:r>
      <w:r w:rsidRPr="003B595D">
        <w:t>chen f</w:t>
      </w:r>
      <w:r w:rsidRPr="003B595D">
        <w:t>ü</w:t>
      </w:r>
      <w:r w:rsidRPr="003B595D">
        <w:t>r Erweiterungen frei</w:t>
      </w:r>
      <w:r w:rsidRPr="003B595D">
        <w:t>”</w:t>
      </w:r>
      <w:r w:rsidRPr="003B595D">
        <w:t>, but this is reported as an example of good, forward</w:t>
      </w:r>
      <w:r w:rsidRPr="003B595D">
        <w:noBreakHyphen/>
        <w:t xml:space="preserve">looking practice, again </w:t>
      </w:r>
      <w:r w:rsidRPr="003B595D">
        <w:rPr>
          <w:b/>
          <w:bCs/>
        </w:rPr>
        <w:t>without any nationwide percentage for how often it is actually done in existing LV grids</w:t>
      </w:r>
      <w:r w:rsidRPr="003B595D">
        <w:t>.[</w:t>
      </w:r>
      <w:hyperlink r:id="rId11" w:history="1">
        <w:r w:rsidRPr="003B595D">
          <w:rPr>
            <w:rStyle w:val="Hyperlink"/>
          </w:rPr>
          <w:t>ppl-ai-file-upload.s3.amazonaws</w:t>
        </w:r>
      </w:hyperlink>
      <w:r w:rsidRPr="003B595D">
        <w:t>]</w:t>
      </w:r>
    </w:p>
    <w:p w14:paraId="57C4E2E8" w14:textId="77777777" w:rsidR="003B595D" w:rsidRPr="003B595D" w:rsidRDefault="003B595D" w:rsidP="003B595D">
      <w:pPr>
        <w:numPr>
          <w:ilvl w:val="0"/>
          <w:numId w:val="16"/>
        </w:numPr>
        <w:spacing w:after="210" w:line="360" w:lineRule="auto"/>
      </w:pPr>
      <w:r w:rsidRPr="003B595D">
        <w:lastRenderedPageBreak/>
        <w:t>The Baden</w:t>
      </w:r>
      <w:r w:rsidRPr="003B595D">
        <w:noBreakHyphen/>
        <w:t>W</w:t>
      </w:r>
      <w:r w:rsidRPr="003B595D">
        <w:t>ü</w:t>
      </w:r>
      <w:r w:rsidRPr="003B595D">
        <w:t>rttemberg Verteilnetzstudie</w:t>
      </w:r>
      <w:r w:rsidRPr="003B595D">
        <w:t>’</w:t>
      </w:r>
      <w:r w:rsidRPr="003B595D">
        <w:t>s cost model distinguishes first</w:t>
      </w:r>
      <w:r w:rsidRPr="003B595D">
        <w:noBreakHyphen/>
        <w:t xml:space="preserve">time cable installation (with full Tiefbau) from subsequent measures, but also </w:t>
      </w:r>
      <w:r w:rsidRPr="003B595D">
        <w:rPr>
          <w:b/>
          <w:bCs/>
        </w:rPr>
        <w:t>does not contain data on how much of the existing LV network already has ducts available</w:t>
      </w:r>
      <w:r w:rsidRPr="003B595D">
        <w:t xml:space="preserve">; it treats the </w:t>
      </w:r>
      <w:r w:rsidRPr="003B595D">
        <w:t>“</w:t>
      </w:r>
      <w:r w:rsidRPr="003B595D">
        <w:t>first reinforcement vs later parallel line</w:t>
      </w:r>
      <w:r w:rsidRPr="003B595D">
        <w:t>”</w:t>
      </w:r>
      <w:r w:rsidRPr="003B595D">
        <w:t xml:space="preserve"> distinction as a modelling assumption.[</w:t>
      </w:r>
      <w:hyperlink r:id="rId12" w:history="1">
        <w:r w:rsidRPr="003B595D">
          <w:rPr>
            <w:rStyle w:val="Hyperlink"/>
          </w:rPr>
          <w:t>ppl-ai-file-upload.s3.amazonaws</w:t>
        </w:r>
      </w:hyperlink>
      <w:r w:rsidRPr="003B595D">
        <w:t>]</w:t>
      </w:r>
    </w:p>
    <w:p w14:paraId="3741BFFD" w14:textId="77777777" w:rsidR="003B595D" w:rsidRPr="003B595D" w:rsidRDefault="003B595D" w:rsidP="003B595D">
      <w:pPr>
        <w:spacing w:after="210" w:line="360" w:lineRule="auto"/>
      </w:pPr>
      <w:r w:rsidRPr="003B595D">
        <w:t xml:space="preserve">In other words: all three strands of evidence say </w:t>
      </w:r>
      <w:r w:rsidRPr="003B595D">
        <w:rPr>
          <w:i/>
          <w:iCs/>
        </w:rPr>
        <w:t>“</w:t>
      </w:r>
      <w:r w:rsidRPr="003B595D">
        <w:rPr>
          <w:i/>
          <w:iCs/>
        </w:rPr>
        <w:t>you should install ducts when you open the street</w:t>
      </w:r>
      <w:r w:rsidRPr="003B595D">
        <w:rPr>
          <w:i/>
          <w:iCs/>
        </w:rPr>
        <w:t>”</w:t>
      </w:r>
      <w:r w:rsidRPr="003B595D">
        <w:t xml:space="preserve">; none of them say </w:t>
      </w:r>
      <w:r w:rsidRPr="003B595D">
        <w:rPr>
          <w:i/>
          <w:iCs/>
        </w:rPr>
        <w:t>“</w:t>
      </w:r>
      <w:r w:rsidRPr="003B595D">
        <w:rPr>
          <w:i/>
          <w:iCs/>
        </w:rPr>
        <w:t>X</w:t>
      </w:r>
      <w:r w:rsidRPr="003B595D">
        <w:rPr>
          <w:rFonts w:ascii="Arial" w:hAnsi="Arial" w:cs="Arial"/>
          <w:i/>
          <w:iCs/>
        </w:rPr>
        <w:t> </w:t>
      </w:r>
      <w:r w:rsidRPr="003B595D">
        <w:rPr>
          <w:i/>
          <w:iCs/>
        </w:rPr>
        <w:t>% of today</w:t>
      </w:r>
      <w:r w:rsidRPr="003B595D">
        <w:rPr>
          <w:i/>
          <w:iCs/>
        </w:rPr>
        <w:t>’</w:t>
      </w:r>
      <w:r w:rsidRPr="003B595D">
        <w:rPr>
          <w:i/>
          <w:iCs/>
        </w:rPr>
        <w:t>s LV routes already have ducts</w:t>
      </w:r>
      <w:r w:rsidRPr="003B595D">
        <w:rPr>
          <w:i/>
          <w:iCs/>
        </w:rPr>
        <w:t>”</w:t>
      </w:r>
      <w:r w:rsidRPr="003B595D">
        <w:t>.[</w:t>
      </w:r>
      <w:hyperlink r:id="rId13" w:history="1">
        <w:r w:rsidRPr="003B595D">
          <w:rPr>
            <w:rStyle w:val="Hyperlink"/>
          </w:rPr>
          <w:t>ppl-ai-file-upload.s3.amazonaws</w:t>
        </w:r>
      </w:hyperlink>
      <w:r w:rsidRPr="003B595D">
        <w:t>]</w:t>
      </w:r>
    </w:p>
    <w:p w14:paraId="706F215A" w14:textId="77777777" w:rsidR="003B595D" w:rsidRPr="003B595D" w:rsidRDefault="003B595D" w:rsidP="003B595D">
      <w:pPr>
        <w:spacing w:after="210" w:line="360" w:lineRule="auto"/>
        <w:rPr>
          <w:b/>
          <w:bCs/>
        </w:rPr>
      </w:pPr>
      <w:r w:rsidRPr="003B595D">
        <w:rPr>
          <w:b/>
          <w:bCs/>
        </w:rPr>
        <w:t>Implications for your cost estimation</w:t>
      </w:r>
    </w:p>
    <w:p w14:paraId="725F6EBB" w14:textId="77777777" w:rsidR="003B595D" w:rsidRPr="003B595D" w:rsidRDefault="003B595D" w:rsidP="003B595D">
      <w:pPr>
        <w:spacing w:after="210" w:line="360" w:lineRule="auto"/>
      </w:pPr>
      <w:r w:rsidRPr="003B595D">
        <w:t>Given this data situation:</w:t>
      </w:r>
    </w:p>
    <w:p w14:paraId="5227F1A5" w14:textId="77777777" w:rsidR="003B595D" w:rsidRPr="003B595D" w:rsidRDefault="003B595D" w:rsidP="003B595D">
      <w:pPr>
        <w:numPr>
          <w:ilvl w:val="0"/>
          <w:numId w:val="17"/>
        </w:numPr>
        <w:spacing w:after="210" w:line="360" w:lineRule="auto"/>
      </w:pPr>
      <w:r w:rsidRPr="003B595D">
        <w:t xml:space="preserve">You </w:t>
      </w:r>
      <w:r w:rsidRPr="003B595D">
        <w:rPr>
          <w:b/>
          <w:bCs/>
        </w:rPr>
        <w:t>cannot reliably derive a national percentage</w:t>
      </w:r>
      <w:r w:rsidRPr="003B595D">
        <w:t xml:space="preserve"> for </w:t>
      </w:r>
      <w:r w:rsidRPr="003B595D">
        <w:t>“</w:t>
      </w:r>
      <w:r w:rsidRPr="003B595D">
        <w:t>no street reopening needed</w:t>
      </w:r>
      <w:r w:rsidRPr="003B595D">
        <w:t>”</w:t>
      </w:r>
      <w:r w:rsidRPr="003B595D">
        <w:t xml:space="preserve"> from existing official or academic sources. Any specific percentage would be an assumption, not an empirically backed statistic.</w:t>
      </w:r>
    </w:p>
    <w:p w14:paraId="616E2E91" w14:textId="77777777" w:rsidR="003B595D" w:rsidRPr="003B595D" w:rsidRDefault="003B595D" w:rsidP="003B595D">
      <w:pPr>
        <w:numPr>
          <w:ilvl w:val="0"/>
          <w:numId w:val="17"/>
        </w:numPr>
        <w:spacing w:after="210" w:line="360" w:lineRule="auto"/>
      </w:pPr>
      <w:r w:rsidRPr="003B595D">
        <w:t xml:space="preserve">For a robust model, the usual approach is to treat </w:t>
      </w:r>
      <w:r w:rsidRPr="003B595D">
        <w:rPr>
          <w:b/>
          <w:bCs/>
        </w:rPr>
        <w:t>“</w:t>
      </w:r>
      <w:r w:rsidRPr="003B595D">
        <w:rPr>
          <w:b/>
          <w:bCs/>
        </w:rPr>
        <w:t>ducts available</w:t>
      </w:r>
      <w:r w:rsidRPr="003B595D">
        <w:rPr>
          <w:b/>
          <w:bCs/>
        </w:rPr>
        <w:t>”</w:t>
      </w:r>
      <w:r w:rsidRPr="003B595D">
        <w:rPr>
          <w:b/>
          <w:bCs/>
        </w:rPr>
        <w:t xml:space="preserve"> as a scenario parameter</w:t>
      </w:r>
      <w:r w:rsidRPr="003B595D">
        <w:t xml:space="preserve"> and calibrate it with:</w:t>
      </w:r>
    </w:p>
    <w:p w14:paraId="5AFD5288" w14:textId="77777777" w:rsidR="003B595D" w:rsidRPr="003B595D" w:rsidRDefault="003B595D" w:rsidP="003B595D">
      <w:pPr>
        <w:numPr>
          <w:ilvl w:val="1"/>
          <w:numId w:val="17"/>
        </w:numPr>
        <w:spacing w:after="210" w:line="360" w:lineRule="auto"/>
      </w:pPr>
      <w:r w:rsidRPr="003B595D">
        <w:t>targeted queries to a few representative DSOs (urban vs rural, large vs small), and</w:t>
      </w:r>
    </w:p>
    <w:p w14:paraId="43540DCA" w14:textId="77777777" w:rsidR="003B595D" w:rsidRPr="003B595D" w:rsidRDefault="003B595D" w:rsidP="003B595D">
      <w:pPr>
        <w:numPr>
          <w:ilvl w:val="1"/>
          <w:numId w:val="17"/>
        </w:numPr>
        <w:spacing w:after="210" w:line="360" w:lineRule="auto"/>
      </w:pPr>
      <w:r w:rsidRPr="003B595D">
        <w:t>your own sample of LV asset data where available.[</w:t>
      </w:r>
      <w:hyperlink r:id="rId14" w:history="1">
        <w:r w:rsidRPr="003B595D">
          <w:rPr>
            <w:rStyle w:val="Hyperlink"/>
          </w:rPr>
          <w:t>ppl-ai-file-upload.s3.amazonaws</w:t>
        </w:r>
      </w:hyperlink>
      <w:r w:rsidRPr="003B595D">
        <w:t>]</w:t>
      </w:r>
    </w:p>
    <w:p w14:paraId="0AA1C4D2" w14:textId="77777777" w:rsidR="003B595D" w:rsidRPr="003B595D" w:rsidRDefault="003B595D" w:rsidP="003B595D">
      <w:pPr>
        <w:spacing w:after="210" w:line="360" w:lineRule="auto"/>
      </w:pPr>
      <w:r w:rsidRPr="003B595D">
        <w:t>For your heuristic you can therefore:</w:t>
      </w:r>
    </w:p>
    <w:p w14:paraId="7B0855DF" w14:textId="77777777" w:rsidR="003B595D" w:rsidRPr="003B595D" w:rsidRDefault="003B595D" w:rsidP="003B595D">
      <w:pPr>
        <w:numPr>
          <w:ilvl w:val="0"/>
          <w:numId w:val="18"/>
        </w:numPr>
        <w:spacing w:after="210" w:line="360" w:lineRule="auto"/>
      </w:pPr>
      <w:r w:rsidRPr="003B595D">
        <w:t>Keep two cost levels (first reinforcement with Tiefbau vs later cable in duct),</w:t>
      </w:r>
    </w:p>
    <w:p w14:paraId="09D344F3" w14:textId="77777777" w:rsidR="003B595D" w:rsidRPr="003B595D" w:rsidRDefault="003B595D" w:rsidP="003B595D">
      <w:pPr>
        <w:numPr>
          <w:ilvl w:val="0"/>
          <w:numId w:val="18"/>
        </w:numPr>
        <w:spacing w:after="210" w:line="360" w:lineRule="auto"/>
      </w:pPr>
      <w:r w:rsidRPr="003B595D">
        <w:t xml:space="preserve">But be explicit that the </w:t>
      </w:r>
      <w:r w:rsidRPr="003B595D">
        <w:rPr>
          <w:b/>
          <w:bCs/>
        </w:rPr>
        <w:t>share of routes in the second category is an assumption</w:t>
      </w:r>
      <w:r w:rsidRPr="003B595D">
        <w:t>, not an observed national figure, and ideally document the DSO feedback behind whatever value you choose.</w:t>
      </w:r>
    </w:p>
    <w:p w14:paraId="0908D85A" w14:textId="77777777" w:rsidR="003B595D" w:rsidRPr="003B595D" w:rsidRDefault="003B595D" w:rsidP="003B595D">
      <w:pPr>
        <w:spacing w:after="210" w:line="360" w:lineRule="auto"/>
      </w:pPr>
      <w:r w:rsidRPr="003B595D">
        <w:t xml:space="preserve">If you like, we can sketch a survey template or data request you could send to DSOs to get at least </w:t>
      </w:r>
      <w:r w:rsidRPr="003B595D">
        <w:rPr>
          <w:b/>
          <w:bCs/>
        </w:rPr>
        <w:t>order</w:t>
      </w:r>
      <w:r w:rsidRPr="003B595D">
        <w:rPr>
          <w:b/>
          <w:bCs/>
        </w:rPr>
        <w:noBreakHyphen/>
        <w:t>of</w:t>
      </w:r>
      <w:r w:rsidRPr="003B595D">
        <w:rPr>
          <w:b/>
          <w:bCs/>
        </w:rPr>
        <w:noBreakHyphen/>
        <w:t>magnitude empirical input</w:t>
      </w:r>
      <w:r w:rsidRPr="003B595D">
        <w:t xml:space="preserve"> for different settlement types, which is likely the only way to make this critical parameter less speculative.</w:t>
      </w:r>
    </w:p>
    <w:p w14:paraId="158479E1" w14:textId="77777777" w:rsidR="003B595D" w:rsidRDefault="003B595D">
      <w:pPr>
        <w:spacing w:after="210" w:line="360" w:lineRule="auto"/>
      </w:pPr>
    </w:p>
    <w:p w14:paraId="0E95FF4A" w14:textId="77777777" w:rsidR="00796E0E" w:rsidRDefault="00000000">
      <w:pPr>
        <w:spacing w:before="210" w:after="0" w:line="360" w:lineRule="auto"/>
      </w:pPr>
      <w:r>
        <w:rPr>
          <w:noProof/>
        </w:rPr>
      </w:r>
      <w:r>
        <w:rPr>
          <w:noProof/>
        </w:rPr>
        <w:pict w14:anchorId="0E95FFC5">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F4B" w14:textId="77777777" w:rsidR="00796E0E" w:rsidRDefault="00000000">
      <w:pPr>
        <w:spacing w:before="315" w:after="105" w:line="360" w:lineRule="auto"/>
        <w:ind w:left="-30"/>
      </w:pPr>
      <w:bookmarkStart w:id="88" w:name="example_consolidated_tables_for_y_25a80c"/>
      <w:r>
        <w:rPr>
          <w:rFonts w:ascii="source serif 4" w:eastAsia="source serif 4" w:hAnsi="source serif 4" w:cs="source serif 4"/>
          <w:b/>
          <w:color w:val="000000"/>
          <w:sz w:val="24"/>
        </w:rPr>
        <w:t>Example consolidated tables for your final overview</w:t>
      </w:r>
      <w:bookmarkEnd w:id="88"/>
    </w:p>
    <w:p w14:paraId="0E95FF4C" w14:textId="77777777" w:rsidR="00796E0E" w:rsidRDefault="00000000">
      <w:pPr>
        <w:spacing w:after="210" w:line="360" w:lineRule="auto"/>
      </w:pPr>
      <w:r>
        <w:rPr>
          <w:rFonts w:ascii="source serif 4" w:eastAsia="source serif 4" w:hAnsi="source serif 4" w:cs="source serif 4"/>
          <w:color w:val="000000"/>
        </w:rPr>
        <w:lastRenderedPageBreak/>
        <w:t>To support your request for clear tables, here is an example structure you can adopt or refine.</w:t>
      </w:r>
    </w:p>
    <w:p w14:paraId="0E95FF4D" w14:textId="77777777" w:rsidR="00796E0E" w:rsidRDefault="00000000">
      <w:pPr>
        <w:spacing w:before="315" w:after="105" w:line="360" w:lineRule="auto"/>
        <w:ind w:left="-30"/>
      </w:pPr>
      <w:bookmarkStart w:id="89" w:name="table_3_recommended_heuristic_cos_42f74f"/>
      <w:r>
        <w:rPr>
          <w:rFonts w:ascii="source serif 4" w:eastAsia="source serif 4" w:hAnsi="source serif 4" w:cs="source serif 4"/>
          <w:b/>
          <w:color w:val="000000"/>
          <w:sz w:val="24"/>
        </w:rPr>
        <w:t>Table 3 – Recommended heuristic cost ranges for LV reinforcement (Germany)</w:t>
      </w:r>
      <w:bookmarkEnd w:id="8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52"/>
        <w:gridCol w:w="972"/>
        <w:gridCol w:w="2658"/>
        <w:gridCol w:w="2622"/>
      </w:tblGrid>
      <w:tr w:rsidR="00796E0E" w14:paraId="0E95FF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4E" w14:textId="77777777" w:rsidR="00796E0E" w:rsidRDefault="00000000">
            <w:pPr>
              <w:spacing w:line="360" w:lineRule="auto"/>
            </w:pPr>
            <w:r>
              <w:rPr>
                <w:rFonts w:ascii="source sans 3" w:eastAsia="source sans 3" w:hAnsi="source sans 3" w:cs="source sans 3"/>
                <w:color w:val="000000"/>
                <w:sz w:val="17"/>
              </w:rPr>
              <w:t>Measure</w:t>
            </w:r>
          </w:p>
        </w:tc>
        <w:tc>
          <w:tcPr>
            <w:tcW w:w="0" w:type="auto"/>
            <w:tcBorders>
              <w:top w:val="single" w:sz="1" w:space="0" w:color="000000"/>
              <w:bottom w:val="single" w:sz="1" w:space="0" w:color="000000"/>
              <w:right w:val="single" w:sz="1" w:space="0" w:color="000000"/>
            </w:tcBorders>
          </w:tcPr>
          <w:p w14:paraId="0E95FF4F" w14:textId="77777777" w:rsidR="00796E0E" w:rsidRDefault="00000000">
            <w:pPr>
              <w:spacing w:line="360" w:lineRule="auto"/>
            </w:pPr>
            <w:r>
              <w:rPr>
                <w:rFonts w:ascii="source sans 3" w:eastAsia="source sans 3" w:hAnsi="source sans 3" w:cs="source sans 3"/>
                <w:color w:val="000000"/>
                <w:sz w:val="17"/>
              </w:rPr>
              <w:t>Category</w:t>
            </w:r>
          </w:p>
        </w:tc>
        <w:tc>
          <w:tcPr>
            <w:tcW w:w="0" w:type="auto"/>
            <w:tcBorders>
              <w:top w:val="single" w:sz="1" w:space="0" w:color="000000"/>
              <w:bottom w:val="single" w:sz="1" w:space="0" w:color="000000"/>
              <w:right w:val="single" w:sz="1" w:space="0" w:color="000000"/>
            </w:tcBorders>
          </w:tcPr>
          <w:p w14:paraId="0E95FF50" w14:textId="77777777" w:rsidR="00796E0E" w:rsidRDefault="00000000">
            <w:pPr>
              <w:spacing w:line="360" w:lineRule="auto"/>
            </w:pPr>
            <w:r>
              <w:rPr>
                <w:rFonts w:ascii="source sans 3" w:eastAsia="source sans 3" w:hAnsi="source sans 3" w:cs="source sans 3"/>
                <w:color w:val="000000"/>
                <w:sz w:val="17"/>
              </w:rPr>
              <w:t>Recommended range (Germany)</w:t>
            </w:r>
          </w:p>
        </w:tc>
        <w:tc>
          <w:tcPr>
            <w:tcW w:w="0" w:type="auto"/>
            <w:tcBorders>
              <w:top w:val="single" w:sz="1" w:space="0" w:color="000000"/>
              <w:bottom w:val="single" w:sz="1" w:space="0" w:color="000000"/>
            </w:tcBorders>
          </w:tcPr>
          <w:p w14:paraId="0E95FF51" w14:textId="77777777" w:rsidR="00796E0E" w:rsidRDefault="00000000">
            <w:pPr>
              <w:spacing w:line="360" w:lineRule="auto"/>
            </w:pPr>
            <w:r>
              <w:rPr>
                <w:rFonts w:ascii="source sans 3" w:eastAsia="source sans 3" w:hAnsi="source sans 3" w:cs="source sans 3"/>
                <w:color w:val="000000"/>
                <w:sz w:val="17"/>
              </w:rPr>
              <w:t>Key sources</w:t>
            </w:r>
          </w:p>
        </w:tc>
      </w:tr>
      <w:tr w:rsidR="00796E0E" w14:paraId="0E95FF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53" w14:textId="77777777" w:rsidR="00796E0E" w:rsidRDefault="00000000">
            <w:pPr>
              <w:spacing w:line="360" w:lineRule="auto"/>
            </w:pPr>
            <w:r>
              <w:rPr>
                <w:rFonts w:ascii="source sans 3" w:eastAsia="source sans 3" w:hAnsi="source sans 3" w:cs="source sans 3"/>
                <w:color w:val="000000"/>
                <w:sz w:val="17"/>
              </w:rPr>
              <w:t>NS cable reinforcement incl Tiefbau</w:t>
            </w:r>
          </w:p>
        </w:tc>
        <w:tc>
          <w:tcPr>
            <w:tcW w:w="0" w:type="auto"/>
            <w:tcBorders>
              <w:top w:val="single" w:sz="1" w:space="0" w:color="000000"/>
              <w:bottom w:val="single" w:sz="1" w:space="0" w:color="000000"/>
              <w:right w:val="single" w:sz="1" w:space="0" w:color="000000"/>
            </w:tcBorders>
          </w:tcPr>
          <w:p w14:paraId="0E95FF54" w14:textId="77777777" w:rsidR="00796E0E" w:rsidRDefault="00000000">
            <w:pPr>
              <w:spacing w:line="360" w:lineRule="auto"/>
            </w:pPr>
            <w:r>
              <w:rPr>
                <w:rFonts w:ascii="source sans 3" w:eastAsia="source sans 3" w:hAnsi="source sans 3" w:cs="source sans 3"/>
                <w:color w:val="000000"/>
                <w:sz w:val="17"/>
              </w:rPr>
              <w:t>Rural</w:t>
            </w:r>
          </w:p>
        </w:tc>
        <w:tc>
          <w:tcPr>
            <w:tcW w:w="0" w:type="auto"/>
            <w:tcBorders>
              <w:top w:val="single" w:sz="1" w:space="0" w:color="000000"/>
              <w:bottom w:val="single" w:sz="1" w:space="0" w:color="000000"/>
              <w:right w:val="single" w:sz="1" w:space="0" w:color="000000"/>
            </w:tcBorders>
          </w:tcPr>
          <w:p w14:paraId="0E95FF55" w14:textId="77777777" w:rsidR="00796E0E" w:rsidRDefault="00000000">
            <w:pPr>
              <w:spacing w:line="360" w:lineRule="auto"/>
            </w:pPr>
            <w:r>
              <w:rPr>
                <w:rFonts w:ascii="source sans 3" w:eastAsia="source sans 3" w:hAnsi="source sans 3" w:cs="source sans 3"/>
                <w:color w:val="000000"/>
                <w:sz w:val="17"/>
              </w:rPr>
              <w:t>80–120 k€/km</w:t>
            </w:r>
          </w:p>
        </w:tc>
        <w:tc>
          <w:tcPr>
            <w:tcW w:w="0" w:type="auto"/>
            <w:tcBorders>
              <w:top w:val="single" w:sz="1" w:space="0" w:color="000000"/>
              <w:bottom w:val="single" w:sz="1" w:space="0" w:color="000000"/>
            </w:tcBorders>
          </w:tcPr>
          <w:p w14:paraId="0E95FF56" w14:textId="77777777" w:rsidR="00796E0E" w:rsidRDefault="00000000">
            <w:pPr>
              <w:spacing w:line="360" w:lineRule="auto"/>
            </w:pPr>
            <w:r>
              <w:rPr>
                <w:rFonts w:ascii="source sans 3" w:eastAsia="source sans 3" w:hAnsi="source sans 3" w:cs="source sans 3"/>
                <w:color w:val="000000"/>
                <w:sz w:val="17"/>
              </w:rPr>
              <w:t>BW‑study, PuBStadt</w:t>
            </w:r>
            <w:hyperlink w:anchor="fn3">
              <w:r>
                <w:rPr>
                  <w:rFonts w:ascii="source sans 3" w:eastAsia="source sans 3" w:hAnsi="source sans 3" w:cs="source sans 3"/>
                  <w:sz w:val="17"/>
                  <w:u w:val="single"/>
                  <w:vertAlign w:val="superscript"/>
                </w:rPr>
                <w:t>[3]</w:t>
              </w:r>
            </w:hyperlink>
            <w:hyperlink w:anchor="fn2">
              <w:r>
                <w:rPr>
                  <w:rFonts w:ascii="source sans 3" w:eastAsia="source sans 3" w:hAnsi="source sans 3" w:cs="source sans 3"/>
                  <w:sz w:val="17"/>
                  <w:u w:val="single"/>
                  <w:vertAlign w:val="superscript"/>
                </w:rPr>
                <w:t>[2]</w:t>
              </w:r>
            </w:hyperlink>
          </w:p>
        </w:tc>
      </w:tr>
      <w:tr w:rsidR="00796E0E" w14:paraId="0E95FF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58" w14:textId="77777777" w:rsidR="00796E0E" w:rsidRDefault="00796E0E"/>
        </w:tc>
        <w:tc>
          <w:tcPr>
            <w:tcW w:w="0" w:type="auto"/>
            <w:tcBorders>
              <w:top w:val="single" w:sz="1" w:space="0" w:color="000000"/>
              <w:bottom w:val="single" w:sz="1" w:space="0" w:color="000000"/>
              <w:right w:val="single" w:sz="1" w:space="0" w:color="000000"/>
            </w:tcBorders>
          </w:tcPr>
          <w:p w14:paraId="0E95FF59" w14:textId="77777777" w:rsidR="00796E0E" w:rsidRDefault="00000000">
            <w:pPr>
              <w:spacing w:line="360" w:lineRule="auto"/>
            </w:pPr>
            <w:r>
              <w:rPr>
                <w:rFonts w:ascii="source sans 3" w:eastAsia="source sans 3" w:hAnsi="source sans 3" w:cs="source sans 3"/>
                <w:color w:val="000000"/>
                <w:sz w:val="17"/>
              </w:rPr>
              <w:t>Urban</w:t>
            </w:r>
          </w:p>
        </w:tc>
        <w:tc>
          <w:tcPr>
            <w:tcW w:w="0" w:type="auto"/>
            <w:tcBorders>
              <w:top w:val="single" w:sz="1" w:space="0" w:color="000000"/>
              <w:bottom w:val="single" w:sz="1" w:space="0" w:color="000000"/>
              <w:right w:val="single" w:sz="1" w:space="0" w:color="000000"/>
            </w:tcBorders>
          </w:tcPr>
          <w:p w14:paraId="0E95FF5A" w14:textId="77777777" w:rsidR="00796E0E" w:rsidRDefault="00000000">
            <w:pPr>
              <w:spacing w:line="360" w:lineRule="auto"/>
            </w:pPr>
            <w:r>
              <w:rPr>
                <w:rFonts w:ascii="source sans 3" w:eastAsia="source sans 3" w:hAnsi="source sans 3" w:cs="source sans 3"/>
                <w:color w:val="000000"/>
                <w:sz w:val="17"/>
              </w:rPr>
              <w:t>125–200 k€/km</w:t>
            </w:r>
          </w:p>
        </w:tc>
        <w:tc>
          <w:tcPr>
            <w:tcW w:w="0" w:type="auto"/>
            <w:tcBorders>
              <w:top w:val="single" w:sz="1" w:space="0" w:color="000000"/>
              <w:bottom w:val="single" w:sz="1" w:space="0" w:color="000000"/>
            </w:tcBorders>
          </w:tcPr>
          <w:p w14:paraId="0E95FF5B" w14:textId="77777777" w:rsidR="00796E0E" w:rsidRDefault="00000000">
            <w:pPr>
              <w:spacing w:line="360" w:lineRule="auto"/>
            </w:pPr>
            <w:r>
              <w:rPr>
                <w:rFonts w:ascii="source sans 3" w:eastAsia="source sans 3" w:hAnsi="source sans 3" w:cs="source sans 3"/>
                <w:color w:val="000000"/>
                <w:sz w:val="17"/>
              </w:rPr>
              <w:t>BW‑study, PuBStadt</w:t>
            </w:r>
            <w:hyperlink w:anchor="fn3">
              <w:r>
                <w:rPr>
                  <w:rFonts w:ascii="source sans 3" w:eastAsia="source sans 3" w:hAnsi="source sans 3" w:cs="source sans 3"/>
                  <w:sz w:val="17"/>
                  <w:u w:val="single"/>
                  <w:vertAlign w:val="superscript"/>
                </w:rPr>
                <w:t>[3]</w:t>
              </w:r>
            </w:hyperlink>
            <w:hyperlink w:anchor="fn2">
              <w:r>
                <w:rPr>
                  <w:rFonts w:ascii="source sans 3" w:eastAsia="source sans 3" w:hAnsi="source sans 3" w:cs="source sans 3"/>
                  <w:sz w:val="17"/>
                  <w:u w:val="single"/>
                  <w:vertAlign w:val="superscript"/>
                </w:rPr>
                <w:t>[2]</w:t>
              </w:r>
            </w:hyperlink>
          </w:p>
        </w:tc>
      </w:tr>
      <w:tr w:rsidR="00796E0E" w14:paraId="0E95FF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5D" w14:textId="77777777" w:rsidR="00796E0E" w:rsidRDefault="00000000">
            <w:pPr>
              <w:spacing w:line="360" w:lineRule="auto"/>
            </w:pPr>
            <w:r>
              <w:rPr>
                <w:rFonts w:ascii="source sans 3" w:eastAsia="source sans 3" w:hAnsi="source sans 3" w:cs="source sans 3"/>
                <w:color w:val="000000"/>
                <w:sz w:val="17"/>
              </w:rPr>
              <w:t>NS cable parallel in empty pipe</w:t>
            </w:r>
          </w:p>
        </w:tc>
        <w:tc>
          <w:tcPr>
            <w:tcW w:w="0" w:type="auto"/>
            <w:tcBorders>
              <w:top w:val="single" w:sz="1" w:space="0" w:color="000000"/>
              <w:bottom w:val="single" w:sz="1" w:space="0" w:color="000000"/>
              <w:right w:val="single" w:sz="1" w:space="0" w:color="000000"/>
            </w:tcBorders>
          </w:tcPr>
          <w:p w14:paraId="0E95FF5E"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5F" w14:textId="77777777" w:rsidR="00796E0E" w:rsidRDefault="00000000">
            <w:pPr>
              <w:spacing w:line="360" w:lineRule="auto"/>
            </w:pPr>
            <w:r>
              <w:rPr>
                <w:rFonts w:ascii="source sans 3" w:eastAsia="source sans 3" w:hAnsi="source sans 3" w:cs="source sans 3"/>
                <w:color w:val="000000"/>
                <w:sz w:val="17"/>
              </w:rPr>
              <w:t>20–60 k€/km</w:t>
            </w:r>
          </w:p>
        </w:tc>
        <w:tc>
          <w:tcPr>
            <w:tcW w:w="0" w:type="auto"/>
            <w:tcBorders>
              <w:top w:val="single" w:sz="1" w:space="0" w:color="000000"/>
              <w:bottom w:val="single" w:sz="1" w:space="0" w:color="000000"/>
            </w:tcBorders>
          </w:tcPr>
          <w:p w14:paraId="0E95FF60" w14:textId="77777777" w:rsidR="00796E0E" w:rsidRDefault="00000000">
            <w:pPr>
              <w:spacing w:line="360" w:lineRule="auto"/>
            </w:pPr>
            <w:r>
              <w:rPr>
                <w:rFonts w:ascii="source sans 3" w:eastAsia="source sans 3" w:hAnsi="source sans 3" w:cs="source sans 3"/>
                <w:color w:val="000000"/>
                <w:sz w:val="17"/>
              </w:rPr>
              <w:t>PuBStadt 17.2</w:t>
            </w:r>
            <w:hyperlink w:anchor="fn2">
              <w:r>
                <w:rPr>
                  <w:rFonts w:ascii="source sans 3" w:eastAsia="source sans 3" w:hAnsi="source sans 3" w:cs="source sans 3"/>
                  <w:sz w:val="17"/>
                  <w:u w:val="single"/>
                  <w:vertAlign w:val="superscript"/>
                </w:rPr>
                <w:t>[2]</w:t>
              </w:r>
            </w:hyperlink>
          </w:p>
        </w:tc>
      </w:tr>
      <w:tr w:rsidR="00796E0E" w14:paraId="0E95FF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62" w14:textId="77777777" w:rsidR="00796E0E" w:rsidRDefault="00000000">
            <w:pPr>
              <w:spacing w:line="360" w:lineRule="auto"/>
            </w:pPr>
            <w:r>
              <w:rPr>
                <w:rFonts w:ascii="source sans 3" w:eastAsia="source sans 3" w:hAnsi="source sans 3" w:cs="source sans 3"/>
                <w:color w:val="000000"/>
                <w:sz w:val="17"/>
              </w:rPr>
              <w:t>LV transformer replacement (same type)</w:t>
            </w:r>
          </w:p>
        </w:tc>
        <w:tc>
          <w:tcPr>
            <w:tcW w:w="0" w:type="auto"/>
            <w:tcBorders>
              <w:top w:val="single" w:sz="1" w:space="0" w:color="000000"/>
              <w:bottom w:val="single" w:sz="1" w:space="0" w:color="000000"/>
              <w:right w:val="single" w:sz="1" w:space="0" w:color="000000"/>
            </w:tcBorders>
          </w:tcPr>
          <w:p w14:paraId="0E95FF63"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64" w14:textId="77777777" w:rsidR="00796E0E" w:rsidRDefault="00000000">
            <w:pPr>
              <w:spacing w:line="360" w:lineRule="auto"/>
            </w:pPr>
            <w:r>
              <w:rPr>
                <w:rFonts w:ascii="source sans 3" w:eastAsia="source sans 3" w:hAnsi="source sans 3" w:cs="source sans 3"/>
                <w:color w:val="000000"/>
                <w:sz w:val="17"/>
              </w:rPr>
              <w:t>10–15 k€ per unit</w:t>
            </w:r>
          </w:p>
        </w:tc>
        <w:tc>
          <w:tcPr>
            <w:tcW w:w="0" w:type="auto"/>
            <w:tcBorders>
              <w:top w:val="single" w:sz="1" w:space="0" w:color="000000"/>
              <w:bottom w:val="single" w:sz="1" w:space="0" w:color="000000"/>
            </w:tcBorders>
          </w:tcPr>
          <w:p w14:paraId="0E95FF65" w14:textId="77777777" w:rsidR="00796E0E" w:rsidRDefault="00000000">
            <w:pPr>
              <w:spacing w:line="360" w:lineRule="auto"/>
            </w:pPr>
            <w:r>
              <w:rPr>
                <w:rFonts w:ascii="source sans 3" w:eastAsia="source sans 3" w:hAnsi="source sans 3" w:cs="source sans 3"/>
                <w:color w:val="000000"/>
                <w:sz w:val="17"/>
              </w:rPr>
              <w:t>BW‑study 11; PuBStadt 17.2</w:t>
            </w:r>
            <w:hyperlink w:anchor="fn3">
              <w:r>
                <w:rPr>
                  <w:rFonts w:ascii="source sans 3" w:eastAsia="source sans 3" w:hAnsi="source sans 3" w:cs="source sans 3"/>
                  <w:sz w:val="17"/>
                  <w:u w:val="single"/>
                  <w:vertAlign w:val="superscript"/>
                </w:rPr>
                <w:t>[3]</w:t>
              </w:r>
            </w:hyperlink>
            <w:hyperlink w:anchor="fn2">
              <w:r>
                <w:rPr>
                  <w:rFonts w:ascii="source sans 3" w:eastAsia="source sans 3" w:hAnsi="source sans 3" w:cs="source sans 3"/>
                  <w:sz w:val="17"/>
                  <w:u w:val="single"/>
                  <w:vertAlign w:val="superscript"/>
                </w:rPr>
                <w:t>[2]</w:t>
              </w:r>
            </w:hyperlink>
          </w:p>
        </w:tc>
      </w:tr>
      <w:tr w:rsidR="00796E0E" w14:paraId="0E95FF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67" w14:textId="77777777" w:rsidR="00796E0E" w:rsidRDefault="00000000">
            <w:pPr>
              <w:spacing w:line="360" w:lineRule="auto"/>
            </w:pPr>
            <w:r>
              <w:rPr>
                <w:rFonts w:ascii="source sans 3" w:eastAsia="source sans 3" w:hAnsi="source sans 3" w:cs="source sans 3"/>
                <w:color w:val="000000"/>
                <w:sz w:val="17"/>
              </w:rPr>
              <w:t>New LV secondary substation (ONS)</w:t>
            </w:r>
          </w:p>
        </w:tc>
        <w:tc>
          <w:tcPr>
            <w:tcW w:w="0" w:type="auto"/>
            <w:tcBorders>
              <w:top w:val="single" w:sz="1" w:space="0" w:color="000000"/>
              <w:bottom w:val="single" w:sz="1" w:space="0" w:color="000000"/>
              <w:right w:val="single" w:sz="1" w:space="0" w:color="000000"/>
            </w:tcBorders>
          </w:tcPr>
          <w:p w14:paraId="0E95FF68"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69" w14:textId="77777777" w:rsidR="00796E0E" w:rsidRDefault="00000000">
            <w:pPr>
              <w:spacing w:line="360" w:lineRule="auto"/>
            </w:pPr>
            <w:r>
              <w:rPr>
                <w:rFonts w:ascii="source sans 3" w:eastAsia="source sans 3" w:hAnsi="source sans 3" w:cs="source sans 3"/>
                <w:color w:val="000000"/>
                <w:sz w:val="17"/>
              </w:rPr>
              <w:t>45–60 k€ per station</w:t>
            </w:r>
          </w:p>
        </w:tc>
        <w:tc>
          <w:tcPr>
            <w:tcW w:w="0" w:type="auto"/>
            <w:tcBorders>
              <w:top w:val="single" w:sz="1" w:space="0" w:color="000000"/>
              <w:bottom w:val="single" w:sz="1" w:space="0" w:color="000000"/>
            </w:tcBorders>
          </w:tcPr>
          <w:p w14:paraId="0E95FF6A" w14:textId="77777777" w:rsidR="00796E0E" w:rsidRDefault="00000000">
            <w:pPr>
              <w:spacing w:line="360" w:lineRule="auto"/>
            </w:pPr>
            <w:r>
              <w:rPr>
                <w:rFonts w:ascii="source sans 3" w:eastAsia="source sans 3" w:hAnsi="source sans 3" w:cs="source sans 3"/>
                <w:color w:val="000000"/>
                <w:sz w:val="17"/>
              </w:rPr>
              <w:t>BW‑study 10</w:t>
            </w:r>
            <w:hyperlink w:anchor="fn3">
              <w:r>
                <w:rPr>
                  <w:rFonts w:ascii="source sans 3" w:eastAsia="source sans 3" w:hAnsi="source sans 3" w:cs="source sans 3"/>
                  <w:sz w:val="17"/>
                  <w:u w:val="single"/>
                  <w:vertAlign w:val="superscript"/>
                </w:rPr>
                <w:t>[3]</w:t>
              </w:r>
            </w:hyperlink>
          </w:p>
        </w:tc>
      </w:tr>
      <w:tr w:rsidR="00796E0E" w14:paraId="0E95FF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6C" w14:textId="77777777" w:rsidR="00796E0E" w:rsidRDefault="00000000">
            <w:pPr>
              <w:spacing w:line="360" w:lineRule="auto"/>
            </w:pPr>
            <w:r>
              <w:rPr>
                <w:rFonts w:ascii="source sans 3" w:eastAsia="source sans 3" w:hAnsi="source sans 3" w:cs="source sans 3"/>
                <w:color w:val="000000"/>
                <w:sz w:val="17"/>
              </w:rPr>
              <w:t>rONT vs standard ONT premium</w:t>
            </w:r>
          </w:p>
        </w:tc>
        <w:tc>
          <w:tcPr>
            <w:tcW w:w="0" w:type="auto"/>
            <w:tcBorders>
              <w:top w:val="single" w:sz="1" w:space="0" w:color="000000"/>
              <w:bottom w:val="single" w:sz="1" w:space="0" w:color="000000"/>
              <w:right w:val="single" w:sz="1" w:space="0" w:color="000000"/>
            </w:tcBorders>
          </w:tcPr>
          <w:p w14:paraId="0E95FF6D"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6E" w14:textId="77777777" w:rsidR="00796E0E" w:rsidRDefault="00000000">
            <w:pPr>
              <w:spacing w:line="360" w:lineRule="auto"/>
            </w:pPr>
            <w:r>
              <w:rPr>
                <w:rFonts w:ascii="source sans 3" w:eastAsia="source sans 3" w:hAnsi="source sans 3" w:cs="source sans 3"/>
                <w:color w:val="000000"/>
                <w:sz w:val="17"/>
              </w:rPr>
              <w:t>+30–45 k€ per transformer</w:t>
            </w:r>
          </w:p>
        </w:tc>
        <w:tc>
          <w:tcPr>
            <w:tcW w:w="0" w:type="auto"/>
            <w:tcBorders>
              <w:top w:val="single" w:sz="1" w:space="0" w:color="000000"/>
              <w:bottom w:val="single" w:sz="1" w:space="0" w:color="000000"/>
            </w:tcBorders>
          </w:tcPr>
          <w:p w14:paraId="0E95FF6F" w14:textId="77777777" w:rsidR="00796E0E" w:rsidRDefault="00000000">
            <w:pPr>
              <w:spacing w:line="360" w:lineRule="auto"/>
            </w:pPr>
            <w:r>
              <w:rPr>
                <w:rFonts w:ascii="source sans 3" w:eastAsia="source sans 3" w:hAnsi="source sans 3" w:cs="source sans 3"/>
                <w:color w:val="000000"/>
                <w:sz w:val="17"/>
              </w:rPr>
              <w:t>BW‑study 12</w:t>
            </w:r>
            <w:hyperlink w:anchor="fn3">
              <w:r>
                <w:rPr>
                  <w:rFonts w:ascii="source sans 3" w:eastAsia="source sans 3" w:hAnsi="source sans 3" w:cs="source sans 3"/>
                  <w:sz w:val="17"/>
                  <w:u w:val="single"/>
                  <w:vertAlign w:val="superscript"/>
                </w:rPr>
                <w:t>[3]</w:t>
              </w:r>
            </w:hyperlink>
          </w:p>
        </w:tc>
      </w:tr>
      <w:tr w:rsidR="00796E0E" w14:paraId="0E95FF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71" w14:textId="77777777" w:rsidR="00796E0E" w:rsidRDefault="00000000">
            <w:pPr>
              <w:spacing w:line="360" w:lineRule="auto"/>
            </w:pPr>
            <w:r>
              <w:rPr>
                <w:rFonts w:ascii="source sans 3" w:eastAsia="source sans 3" w:hAnsi="source sans 3" w:cs="source sans 3"/>
                <w:color w:val="000000"/>
                <w:sz w:val="17"/>
              </w:rPr>
              <w:t>MS cable reinforcement</w:t>
            </w:r>
          </w:p>
        </w:tc>
        <w:tc>
          <w:tcPr>
            <w:tcW w:w="0" w:type="auto"/>
            <w:tcBorders>
              <w:top w:val="single" w:sz="1" w:space="0" w:color="000000"/>
              <w:bottom w:val="single" w:sz="1" w:space="0" w:color="000000"/>
              <w:right w:val="single" w:sz="1" w:space="0" w:color="000000"/>
            </w:tcBorders>
          </w:tcPr>
          <w:p w14:paraId="0E95FF72"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73" w14:textId="77777777" w:rsidR="00796E0E" w:rsidRDefault="00000000">
            <w:pPr>
              <w:spacing w:line="360" w:lineRule="auto"/>
            </w:pPr>
            <w:r>
              <w:rPr>
                <w:rFonts w:ascii="source sans 3" w:eastAsia="source sans 3" w:hAnsi="source sans 3" w:cs="source sans 3"/>
                <w:color w:val="000000"/>
                <w:sz w:val="17"/>
              </w:rPr>
              <w:t>130–160 k€/km</w:t>
            </w:r>
          </w:p>
        </w:tc>
        <w:tc>
          <w:tcPr>
            <w:tcW w:w="0" w:type="auto"/>
            <w:tcBorders>
              <w:top w:val="single" w:sz="1" w:space="0" w:color="000000"/>
              <w:bottom w:val="single" w:sz="1" w:space="0" w:color="000000"/>
            </w:tcBorders>
          </w:tcPr>
          <w:p w14:paraId="0E95FF74" w14:textId="77777777" w:rsidR="00796E0E" w:rsidRDefault="00000000">
            <w:pPr>
              <w:spacing w:line="360" w:lineRule="auto"/>
            </w:pPr>
            <w:r>
              <w:rPr>
                <w:rFonts w:ascii="source sans 3" w:eastAsia="source sans 3" w:hAnsi="source sans 3" w:cs="source sans 3"/>
                <w:color w:val="000000"/>
                <w:sz w:val="17"/>
              </w:rPr>
              <w:t>BW‑study 9</w:t>
            </w:r>
            <w:hyperlink w:anchor="fn3">
              <w:r>
                <w:rPr>
                  <w:rFonts w:ascii="source sans 3" w:eastAsia="source sans 3" w:hAnsi="source sans 3" w:cs="source sans 3"/>
                  <w:sz w:val="17"/>
                  <w:u w:val="single"/>
                  <w:vertAlign w:val="superscript"/>
                </w:rPr>
                <w:t>[3]</w:t>
              </w:r>
            </w:hyperlink>
          </w:p>
        </w:tc>
      </w:tr>
      <w:tr w:rsidR="00796E0E" w14:paraId="0E95FF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76" w14:textId="77777777" w:rsidR="00796E0E" w:rsidRDefault="00000000">
            <w:pPr>
              <w:spacing w:line="360" w:lineRule="auto"/>
            </w:pPr>
            <w:r>
              <w:rPr>
                <w:rFonts w:ascii="source sans 3" w:eastAsia="source sans 3" w:hAnsi="source sans 3" w:cs="source sans 3"/>
                <w:color w:val="000000"/>
                <w:sz w:val="17"/>
              </w:rPr>
              <w:t>New MS/LV transformer station</w:t>
            </w:r>
          </w:p>
        </w:tc>
        <w:tc>
          <w:tcPr>
            <w:tcW w:w="0" w:type="auto"/>
            <w:tcBorders>
              <w:top w:val="single" w:sz="1" w:space="0" w:color="000000"/>
              <w:bottom w:val="single" w:sz="1" w:space="0" w:color="000000"/>
              <w:right w:val="single" w:sz="1" w:space="0" w:color="000000"/>
            </w:tcBorders>
          </w:tcPr>
          <w:p w14:paraId="0E95FF77" w14:textId="77777777" w:rsidR="00796E0E" w:rsidRDefault="00000000">
            <w:pPr>
              <w:spacing w:line="360" w:lineRule="auto"/>
            </w:pPr>
            <w:r>
              <w:rPr>
                <w:rFonts w:ascii="source sans 3" w:eastAsia="source sans 3" w:hAnsi="source sans 3" w:cs="source sans 3"/>
                <w:color w:val="000000"/>
                <w:sz w:val="17"/>
              </w:rPr>
              <w:t>Any</w:t>
            </w:r>
          </w:p>
        </w:tc>
        <w:tc>
          <w:tcPr>
            <w:tcW w:w="0" w:type="auto"/>
            <w:tcBorders>
              <w:top w:val="single" w:sz="1" w:space="0" w:color="000000"/>
              <w:bottom w:val="single" w:sz="1" w:space="0" w:color="000000"/>
              <w:right w:val="single" w:sz="1" w:space="0" w:color="000000"/>
            </w:tcBorders>
          </w:tcPr>
          <w:p w14:paraId="0E95FF78" w14:textId="77777777" w:rsidR="00796E0E" w:rsidRDefault="00000000">
            <w:pPr>
              <w:spacing w:line="360" w:lineRule="auto"/>
            </w:pPr>
            <w:r>
              <w:rPr>
                <w:rFonts w:ascii="source sans 3" w:eastAsia="source sans 3" w:hAnsi="source sans 3" w:cs="source sans 3"/>
                <w:color w:val="000000"/>
                <w:sz w:val="17"/>
              </w:rPr>
              <w:t>1.3–3.2 M€ per station</w:t>
            </w:r>
          </w:p>
        </w:tc>
        <w:tc>
          <w:tcPr>
            <w:tcW w:w="0" w:type="auto"/>
            <w:tcBorders>
              <w:top w:val="single" w:sz="1" w:space="0" w:color="000000"/>
              <w:bottom w:val="single" w:sz="1" w:space="0" w:color="000000"/>
            </w:tcBorders>
          </w:tcPr>
          <w:p w14:paraId="0E95FF79" w14:textId="77777777" w:rsidR="00796E0E" w:rsidRDefault="00000000">
            <w:pPr>
              <w:spacing w:line="360" w:lineRule="auto"/>
            </w:pPr>
            <w:r>
              <w:rPr>
                <w:rFonts w:ascii="source sans 3" w:eastAsia="source sans 3" w:hAnsi="source sans 3" w:cs="source sans 3"/>
                <w:color w:val="000000"/>
                <w:sz w:val="17"/>
              </w:rPr>
              <w:t>BW‑study 6,7</w:t>
            </w:r>
            <w:hyperlink w:anchor="fn3">
              <w:r>
                <w:rPr>
                  <w:rFonts w:ascii="source sans 3" w:eastAsia="source sans 3" w:hAnsi="source sans 3" w:cs="source sans 3"/>
                  <w:sz w:val="17"/>
                  <w:u w:val="single"/>
                  <w:vertAlign w:val="superscript"/>
                </w:rPr>
                <w:t>[3]</w:t>
              </w:r>
            </w:hyperlink>
          </w:p>
        </w:tc>
      </w:tr>
    </w:tbl>
    <w:p w14:paraId="0E95FF7B" w14:textId="77777777" w:rsidR="00796E0E" w:rsidRDefault="00796E0E"/>
    <w:p w14:paraId="0E95FF7C" w14:textId="77777777" w:rsidR="00796E0E" w:rsidRDefault="00000000">
      <w:pPr>
        <w:spacing w:before="315" w:after="105" w:line="360" w:lineRule="auto"/>
        <w:ind w:left="-30"/>
      </w:pPr>
      <w:bookmarkStart w:id="90" w:name="table_4_macro_level_benchmark_numbers"/>
      <w:r>
        <w:rPr>
          <w:rFonts w:ascii="source serif 4" w:eastAsia="source serif 4" w:hAnsi="source serif 4" w:cs="source serif 4"/>
          <w:b/>
          <w:color w:val="000000"/>
          <w:sz w:val="24"/>
        </w:rPr>
        <w:t>Table 4 – Macro‑level benchmark numbers</w:t>
      </w:r>
      <w:bookmarkEnd w:id="9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051"/>
        <w:gridCol w:w="2433"/>
        <w:gridCol w:w="2020"/>
      </w:tblGrid>
      <w:tr w:rsidR="00796E0E" w14:paraId="0E95FF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7D" w14:textId="77777777" w:rsidR="00796E0E" w:rsidRDefault="00000000">
            <w:pPr>
              <w:spacing w:line="360" w:lineRule="auto"/>
            </w:pPr>
            <w:r>
              <w:rPr>
                <w:rFonts w:ascii="source sans 3" w:eastAsia="source sans 3" w:hAnsi="source sans 3" w:cs="source sans 3"/>
                <w:color w:val="000000"/>
                <w:sz w:val="17"/>
              </w:rPr>
              <w:t>Indicator</w:t>
            </w:r>
          </w:p>
        </w:tc>
        <w:tc>
          <w:tcPr>
            <w:tcW w:w="0" w:type="auto"/>
            <w:tcBorders>
              <w:top w:val="single" w:sz="1" w:space="0" w:color="000000"/>
              <w:bottom w:val="single" w:sz="1" w:space="0" w:color="000000"/>
              <w:right w:val="single" w:sz="1" w:space="0" w:color="000000"/>
            </w:tcBorders>
          </w:tcPr>
          <w:p w14:paraId="0E95FF7E" w14:textId="77777777" w:rsidR="00796E0E" w:rsidRDefault="00000000">
            <w:pPr>
              <w:spacing w:line="360" w:lineRule="auto"/>
            </w:pPr>
            <w:r>
              <w:rPr>
                <w:rFonts w:ascii="source sans 3" w:eastAsia="source sans 3" w:hAnsi="source sans 3" w:cs="source sans 3"/>
                <w:color w:val="000000"/>
                <w:sz w:val="17"/>
              </w:rPr>
              <w:t>Value / range</w:t>
            </w:r>
          </w:p>
        </w:tc>
        <w:tc>
          <w:tcPr>
            <w:tcW w:w="0" w:type="auto"/>
            <w:tcBorders>
              <w:top w:val="single" w:sz="1" w:space="0" w:color="000000"/>
              <w:bottom w:val="single" w:sz="1" w:space="0" w:color="000000"/>
            </w:tcBorders>
          </w:tcPr>
          <w:p w14:paraId="0E95FF7F" w14:textId="77777777" w:rsidR="00796E0E" w:rsidRDefault="00000000">
            <w:pPr>
              <w:spacing w:line="360" w:lineRule="auto"/>
            </w:pPr>
            <w:r>
              <w:rPr>
                <w:rFonts w:ascii="source sans 3" w:eastAsia="source sans 3" w:hAnsi="source sans 3" w:cs="source sans 3"/>
                <w:color w:val="000000"/>
                <w:sz w:val="17"/>
              </w:rPr>
              <w:t>Source</w:t>
            </w:r>
          </w:p>
        </w:tc>
      </w:tr>
      <w:tr w:rsidR="00796E0E" w14:paraId="0E95FF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81" w14:textId="77777777" w:rsidR="00796E0E" w:rsidRDefault="00000000">
            <w:pPr>
              <w:spacing w:line="360" w:lineRule="auto"/>
            </w:pPr>
            <w:r>
              <w:rPr>
                <w:rFonts w:ascii="source sans 3" w:eastAsia="source sans 3" w:hAnsi="source sans 3" w:cs="source sans 3"/>
                <w:color w:val="000000"/>
                <w:sz w:val="17"/>
              </w:rPr>
              <w:t>National Verteilnetz expansion need 2022–2032</w:t>
            </w:r>
          </w:p>
        </w:tc>
        <w:tc>
          <w:tcPr>
            <w:tcW w:w="0" w:type="auto"/>
            <w:tcBorders>
              <w:top w:val="single" w:sz="1" w:space="0" w:color="000000"/>
              <w:bottom w:val="single" w:sz="1" w:space="0" w:color="000000"/>
              <w:right w:val="single" w:sz="1" w:space="0" w:color="000000"/>
            </w:tcBorders>
          </w:tcPr>
          <w:p w14:paraId="0E95FF82" w14:textId="77777777" w:rsidR="00796E0E" w:rsidRDefault="00000000">
            <w:pPr>
              <w:spacing w:line="360" w:lineRule="auto"/>
            </w:pPr>
            <w:r>
              <w:rPr>
                <w:rFonts w:ascii="source sans 3" w:eastAsia="source sans 3" w:hAnsi="source sans 3" w:cs="source sans 3"/>
                <w:color w:val="000000"/>
                <w:sz w:val="17"/>
              </w:rPr>
              <w:t>42.27 bn € total (all levels)</w:t>
            </w:r>
            <w:hyperlink w:anchor="fn4">
              <w:r>
                <w:rPr>
                  <w:rFonts w:ascii="source sans 3" w:eastAsia="source sans 3" w:hAnsi="source sans 3" w:cs="source sans 3"/>
                  <w:sz w:val="17"/>
                  <w:u w:val="single"/>
                  <w:vertAlign w:val="superscript"/>
                </w:rPr>
                <w:t>[4]</w:t>
              </w:r>
            </w:hyperlink>
            <w:hyperlink w:anchor="fn5">
              <w:r>
                <w:rPr>
                  <w:rFonts w:ascii="source sans 3" w:eastAsia="source sans 3" w:hAnsi="source sans 3" w:cs="source sans 3"/>
                  <w:sz w:val="17"/>
                  <w:u w:val="single"/>
                  <w:vertAlign w:val="superscript"/>
                </w:rPr>
                <w:t>[5]</w:t>
              </w:r>
            </w:hyperlink>
          </w:p>
        </w:tc>
        <w:tc>
          <w:tcPr>
            <w:tcW w:w="0" w:type="auto"/>
            <w:tcBorders>
              <w:top w:val="single" w:sz="1" w:space="0" w:color="000000"/>
              <w:bottom w:val="single" w:sz="1" w:space="0" w:color="000000"/>
            </w:tcBorders>
          </w:tcPr>
          <w:p w14:paraId="0E95FF83" w14:textId="77777777" w:rsidR="00796E0E" w:rsidRDefault="00000000">
            <w:pPr>
              <w:spacing w:line="360" w:lineRule="auto"/>
            </w:pPr>
            <w:r>
              <w:rPr>
                <w:rFonts w:ascii="source sans 3" w:eastAsia="source sans 3" w:hAnsi="source sans 3" w:cs="source sans 3"/>
                <w:color w:val="000000"/>
                <w:sz w:val="17"/>
              </w:rPr>
              <w:t>BNetzA Bericht 2022</w:t>
            </w:r>
            <w:hyperlink w:anchor="fn4">
              <w:r>
                <w:rPr>
                  <w:rFonts w:ascii="source sans 3" w:eastAsia="source sans 3" w:hAnsi="source sans 3" w:cs="source sans 3"/>
                  <w:sz w:val="17"/>
                  <w:u w:val="single"/>
                  <w:vertAlign w:val="superscript"/>
                </w:rPr>
                <w:t>[4]</w:t>
              </w:r>
            </w:hyperlink>
            <w:hyperlink w:anchor="fn5">
              <w:r>
                <w:rPr>
                  <w:rFonts w:ascii="source sans 3" w:eastAsia="source sans 3" w:hAnsi="source sans 3" w:cs="source sans 3"/>
                  <w:sz w:val="17"/>
                  <w:u w:val="single"/>
                  <w:vertAlign w:val="superscript"/>
                </w:rPr>
                <w:t>[5]</w:t>
              </w:r>
            </w:hyperlink>
          </w:p>
        </w:tc>
      </w:tr>
      <w:tr w:rsidR="00796E0E" w14:paraId="0E95FF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85" w14:textId="77777777" w:rsidR="00796E0E" w:rsidRDefault="00000000">
            <w:pPr>
              <w:spacing w:line="360" w:lineRule="auto"/>
            </w:pPr>
            <w:r>
              <w:rPr>
                <w:rFonts w:ascii="source sans 3" w:eastAsia="source sans 3" w:hAnsi="source sans 3" w:cs="source sans 3"/>
                <w:color w:val="000000"/>
                <w:sz w:val="17"/>
              </w:rPr>
              <w:t>Aggregated lower‑level (MS/NS) expansion 2022–2032</w:t>
            </w:r>
          </w:p>
        </w:tc>
        <w:tc>
          <w:tcPr>
            <w:tcW w:w="0" w:type="auto"/>
            <w:tcBorders>
              <w:top w:val="single" w:sz="1" w:space="0" w:color="000000"/>
              <w:bottom w:val="single" w:sz="1" w:space="0" w:color="000000"/>
              <w:right w:val="single" w:sz="1" w:space="0" w:color="000000"/>
            </w:tcBorders>
          </w:tcPr>
          <w:p w14:paraId="0E95FF86" w14:textId="77777777" w:rsidR="00796E0E" w:rsidRDefault="00000000">
            <w:pPr>
              <w:spacing w:line="360" w:lineRule="auto"/>
            </w:pPr>
            <w:r>
              <w:rPr>
                <w:rFonts w:ascii="source sans 3" w:eastAsia="source sans 3" w:hAnsi="source sans 3" w:cs="source sans 3"/>
                <w:color w:val="000000"/>
                <w:sz w:val="17"/>
              </w:rPr>
              <w:t>25.84 bn €</w:t>
            </w:r>
            <w:hyperlink w:anchor="fn4">
              <w:r>
                <w:rPr>
                  <w:rFonts w:ascii="source sans 3" w:eastAsia="source sans 3" w:hAnsi="source sans 3" w:cs="source sans 3"/>
                  <w:sz w:val="17"/>
                  <w:u w:val="single"/>
                  <w:vertAlign w:val="superscript"/>
                </w:rPr>
                <w:t>[4]</w:t>
              </w:r>
            </w:hyperlink>
            <w:hyperlink w:anchor="fn5">
              <w:r>
                <w:rPr>
                  <w:rFonts w:ascii="source sans 3" w:eastAsia="source sans 3" w:hAnsi="source sans 3" w:cs="source sans 3"/>
                  <w:sz w:val="17"/>
                  <w:u w:val="single"/>
                  <w:vertAlign w:val="superscript"/>
                </w:rPr>
                <w:t>[5]</w:t>
              </w:r>
            </w:hyperlink>
          </w:p>
        </w:tc>
        <w:tc>
          <w:tcPr>
            <w:tcW w:w="0" w:type="auto"/>
            <w:tcBorders>
              <w:top w:val="single" w:sz="1" w:space="0" w:color="000000"/>
              <w:bottom w:val="single" w:sz="1" w:space="0" w:color="000000"/>
            </w:tcBorders>
          </w:tcPr>
          <w:p w14:paraId="0E95FF87" w14:textId="77777777" w:rsidR="00796E0E" w:rsidRDefault="00000000">
            <w:pPr>
              <w:spacing w:line="360" w:lineRule="auto"/>
            </w:pPr>
            <w:r>
              <w:rPr>
                <w:rFonts w:ascii="source sans 3" w:eastAsia="source sans 3" w:hAnsi="source sans 3" w:cs="source sans 3"/>
                <w:color w:val="000000"/>
                <w:sz w:val="17"/>
              </w:rPr>
              <w:t>BNetzA Bericht 2022</w:t>
            </w:r>
            <w:hyperlink w:anchor="fn4">
              <w:r>
                <w:rPr>
                  <w:rFonts w:ascii="source sans 3" w:eastAsia="source sans 3" w:hAnsi="source sans 3" w:cs="source sans 3"/>
                  <w:sz w:val="17"/>
                  <w:u w:val="single"/>
                  <w:vertAlign w:val="superscript"/>
                </w:rPr>
                <w:t>[4]</w:t>
              </w:r>
            </w:hyperlink>
            <w:hyperlink w:anchor="fn5">
              <w:r>
                <w:rPr>
                  <w:rFonts w:ascii="source sans 3" w:eastAsia="source sans 3" w:hAnsi="source sans 3" w:cs="source sans 3"/>
                  <w:sz w:val="17"/>
                  <w:u w:val="single"/>
                  <w:vertAlign w:val="superscript"/>
                </w:rPr>
                <w:t>[5]</w:t>
              </w:r>
            </w:hyperlink>
          </w:p>
        </w:tc>
      </w:tr>
      <w:tr w:rsidR="00796E0E" w14:paraId="0E95FF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89" w14:textId="77777777" w:rsidR="00796E0E" w:rsidRDefault="00000000">
            <w:pPr>
              <w:spacing w:line="360" w:lineRule="auto"/>
            </w:pPr>
            <w:r>
              <w:rPr>
                <w:rFonts w:ascii="source sans 3" w:eastAsia="source sans 3" w:hAnsi="source sans 3" w:cs="source sans 3"/>
                <w:color w:val="000000"/>
                <w:sz w:val="17"/>
              </w:rPr>
              <w:t>NS share of BW distribution grid investment 2015–2030</w:t>
            </w:r>
          </w:p>
        </w:tc>
        <w:tc>
          <w:tcPr>
            <w:tcW w:w="0" w:type="auto"/>
            <w:tcBorders>
              <w:top w:val="single" w:sz="1" w:space="0" w:color="000000"/>
              <w:bottom w:val="single" w:sz="1" w:space="0" w:color="000000"/>
              <w:right w:val="single" w:sz="1" w:space="0" w:color="000000"/>
            </w:tcBorders>
          </w:tcPr>
          <w:p w14:paraId="0E95FF8A" w14:textId="77777777" w:rsidR="00796E0E" w:rsidRDefault="00000000">
            <w:pPr>
              <w:spacing w:line="360" w:lineRule="auto"/>
            </w:pPr>
            <w:r>
              <w:rPr>
                <w:rFonts w:ascii="source sans 3" w:eastAsia="source sans 3" w:hAnsi="source sans 3" w:cs="source sans 3"/>
                <w:color w:val="000000"/>
                <w:sz w:val="17"/>
              </w:rPr>
              <w:t>~20–30 % of MS+NS total</w:t>
            </w:r>
          </w:p>
        </w:tc>
        <w:tc>
          <w:tcPr>
            <w:tcW w:w="0" w:type="auto"/>
            <w:tcBorders>
              <w:top w:val="single" w:sz="1" w:space="0" w:color="000000"/>
              <w:bottom w:val="single" w:sz="1" w:space="0" w:color="000000"/>
            </w:tcBorders>
          </w:tcPr>
          <w:p w14:paraId="0E95FF8B" w14:textId="77777777" w:rsidR="00796E0E" w:rsidRDefault="00000000">
            <w:pPr>
              <w:spacing w:line="360" w:lineRule="auto"/>
            </w:pPr>
            <w:r>
              <w:rPr>
                <w:rFonts w:ascii="source sans 3" w:eastAsia="source sans 3" w:hAnsi="source sans 3" w:cs="source sans 3"/>
                <w:color w:val="000000"/>
                <w:sz w:val="17"/>
              </w:rPr>
              <w:t>Verteilnetzstudie BW</w:t>
            </w:r>
            <w:hyperlink w:anchor="fn3">
              <w:r>
                <w:rPr>
                  <w:rFonts w:ascii="source sans 3" w:eastAsia="source sans 3" w:hAnsi="source sans 3" w:cs="source sans 3"/>
                  <w:sz w:val="17"/>
                  <w:u w:val="single"/>
                  <w:vertAlign w:val="superscript"/>
                </w:rPr>
                <w:t>[3]</w:t>
              </w:r>
            </w:hyperlink>
          </w:p>
        </w:tc>
      </w:tr>
      <w:tr w:rsidR="00796E0E" w14:paraId="0E95FF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95FF8D" w14:textId="77777777" w:rsidR="00796E0E" w:rsidRDefault="00000000">
            <w:pPr>
              <w:spacing w:line="360" w:lineRule="auto"/>
            </w:pPr>
            <w:r>
              <w:rPr>
                <w:rFonts w:ascii="source sans 3" w:eastAsia="source sans 3" w:hAnsi="source sans 3" w:cs="source sans 3"/>
                <w:color w:val="000000"/>
                <w:sz w:val="17"/>
              </w:rPr>
              <w:t>LV expansion cost doubling between conservative vs ambitious electrification</w:t>
            </w:r>
          </w:p>
        </w:tc>
        <w:tc>
          <w:tcPr>
            <w:tcW w:w="0" w:type="auto"/>
            <w:tcBorders>
              <w:top w:val="single" w:sz="1" w:space="0" w:color="000000"/>
              <w:bottom w:val="single" w:sz="1" w:space="0" w:color="000000"/>
              <w:right w:val="single" w:sz="1" w:space="0" w:color="000000"/>
            </w:tcBorders>
          </w:tcPr>
          <w:p w14:paraId="0E95FF8E" w14:textId="77777777" w:rsidR="00796E0E" w:rsidRDefault="00000000">
            <w:pPr>
              <w:spacing w:line="360" w:lineRule="auto"/>
            </w:pPr>
            <w:r>
              <w:rPr>
                <w:rFonts w:ascii="source sans 3" w:eastAsia="source sans 3" w:hAnsi="source sans 3" w:cs="source sans 3"/>
                <w:color w:val="000000"/>
                <w:sz w:val="17"/>
              </w:rPr>
              <w:t>Factor ≈2 in WEI202 DGLA 2045</w:t>
            </w:r>
          </w:p>
        </w:tc>
        <w:tc>
          <w:tcPr>
            <w:tcW w:w="0" w:type="auto"/>
            <w:tcBorders>
              <w:top w:val="single" w:sz="1" w:space="0" w:color="000000"/>
              <w:bottom w:val="single" w:sz="1" w:space="0" w:color="000000"/>
            </w:tcBorders>
          </w:tcPr>
          <w:p w14:paraId="0E95FF8F" w14:textId="77777777" w:rsidR="00796E0E" w:rsidRDefault="00000000">
            <w:pPr>
              <w:spacing w:line="360" w:lineRule="auto"/>
            </w:pPr>
            <w:r>
              <w:rPr>
                <w:rFonts w:ascii="source sans 3" w:eastAsia="source sans 3" w:hAnsi="source sans 3" w:cs="source sans 3"/>
                <w:color w:val="000000"/>
                <w:sz w:val="17"/>
              </w:rPr>
              <w:t>WEI202</w:t>
            </w:r>
            <w:hyperlink w:anchor="fn1">
              <w:r>
                <w:rPr>
                  <w:rFonts w:ascii="source sans 3" w:eastAsia="source sans 3" w:hAnsi="source sans 3" w:cs="source sans 3"/>
                  <w:sz w:val="17"/>
                  <w:u w:val="single"/>
                  <w:vertAlign w:val="superscript"/>
                </w:rPr>
                <w:t>[1]</w:t>
              </w:r>
            </w:hyperlink>
          </w:p>
        </w:tc>
      </w:tr>
    </w:tbl>
    <w:p w14:paraId="0E95FF91" w14:textId="77777777" w:rsidR="00796E0E" w:rsidRDefault="00796E0E"/>
    <w:p w14:paraId="0E95FF92" w14:textId="77777777" w:rsidR="00796E0E" w:rsidRDefault="00000000">
      <w:pPr>
        <w:spacing w:after="210" w:line="360" w:lineRule="auto"/>
      </w:pPr>
      <w:r>
        <w:rPr>
          <w:rFonts w:ascii="source serif 4" w:eastAsia="source serif 4" w:hAnsi="source serif 4" w:cs="source serif 4"/>
          <w:color w:val="000000"/>
        </w:rPr>
        <w:t xml:space="preserve">You can extend these tables by adding columns for </w:t>
      </w:r>
      <w:r>
        <w:rPr>
          <w:rFonts w:ascii="source serif 4" w:eastAsia="source serif 4" w:hAnsi="source serif 4" w:cs="source serif 4"/>
          <w:i/>
          <w:color w:val="000000"/>
        </w:rPr>
        <w:t>“your current assumption”</w:t>
      </w:r>
      <w:r>
        <w:rPr>
          <w:rFonts w:ascii="source serif 4" w:eastAsia="source serif 4" w:hAnsi="source serif 4" w:cs="source serif 4"/>
          <w:color w:val="000000"/>
        </w:rPr>
        <w:t xml:space="preserve"> and </w:t>
      </w:r>
      <w:r>
        <w:rPr>
          <w:rFonts w:ascii="source serif 4" w:eastAsia="source serif 4" w:hAnsi="source serif 4" w:cs="source serif 4"/>
          <w:i/>
          <w:color w:val="000000"/>
        </w:rPr>
        <w:t>“difference vs benchmark”</w:t>
      </w:r>
      <w:r>
        <w:rPr>
          <w:rFonts w:ascii="source serif 4" w:eastAsia="source serif 4" w:hAnsi="source serif 4" w:cs="source serif 4"/>
          <w:color w:val="000000"/>
        </w:rPr>
        <w:t xml:space="preserve"> to explicitly show where your heuristics match or need adjustment.</w:t>
      </w:r>
    </w:p>
    <w:p w14:paraId="0E95FF93" w14:textId="77777777" w:rsidR="00796E0E" w:rsidRDefault="00000000">
      <w:pPr>
        <w:spacing w:before="210" w:after="0" w:line="360" w:lineRule="auto"/>
      </w:pPr>
      <w:r>
        <w:rPr>
          <w:noProof/>
        </w:rPr>
      </w:r>
      <w:r>
        <w:rPr>
          <w:noProof/>
        </w:rPr>
        <w:pict w14:anchorId="0E95FFC7">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F94" w14:textId="77777777" w:rsidR="00796E0E" w:rsidRDefault="00000000">
      <w:pPr>
        <w:spacing w:before="315" w:after="105" w:line="360" w:lineRule="auto"/>
        <w:ind w:left="-30"/>
      </w:pPr>
      <w:bookmarkStart w:id="91" w:name="how_to_integrate_this_into_your_model"/>
      <w:r>
        <w:rPr>
          <w:rFonts w:ascii="source serif 4" w:eastAsia="source serif 4" w:hAnsi="source serif 4" w:cs="source serif 4"/>
          <w:b/>
          <w:color w:val="000000"/>
          <w:sz w:val="24"/>
        </w:rPr>
        <w:t>How to integrate this into your model</w:t>
      </w:r>
      <w:bookmarkEnd w:id="91"/>
    </w:p>
    <w:p w14:paraId="0E95FF95" w14:textId="77777777" w:rsidR="00796E0E" w:rsidRDefault="00000000">
      <w:pPr>
        <w:spacing w:after="210" w:line="360" w:lineRule="auto"/>
      </w:pPr>
      <w:r>
        <w:rPr>
          <w:rFonts w:ascii="source serif 4" w:eastAsia="source serif 4" w:hAnsi="source serif 4" w:cs="source serif 4"/>
          <w:color w:val="000000"/>
        </w:rPr>
        <w:lastRenderedPageBreak/>
        <w:t>Putting it all together, a validated heuristic cost estimation approach for your LV grid loading model would:</w:t>
      </w:r>
    </w:p>
    <w:p w14:paraId="0E95FF96" w14:textId="77777777" w:rsidR="00796E0E" w:rsidRDefault="00000000">
      <w:pPr>
        <w:numPr>
          <w:ilvl w:val="0"/>
          <w:numId w:val="12"/>
        </w:numPr>
        <w:spacing w:before="105" w:after="105" w:line="360" w:lineRule="auto"/>
      </w:pPr>
      <w:r>
        <w:rPr>
          <w:rFonts w:ascii="source serif 4" w:eastAsia="source serif 4" w:hAnsi="source serif 4" w:cs="source serif 4"/>
          <w:b/>
          <w:color w:val="000000"/>
        </w:rPr>
        <w:t>Use official unit‑cost ranges</w:t>
      </w:r>
      <w:r>
        <w:rPr>
          <w:rFonts w:ascii="source serif 4" w:eastAsia="source serif 4" w:hAnsi="source serif 4" w:cs="source serif 4"/>
          <w:color w:val="000000"/>
        </w:rPr>
        <w:t xml:space="preserve"> above for NS cables, transformers, stations, and MS reinforcements, differentiated by settlement type.</w:t>
      </w:r>
    </w:p>
    <w:p w14:paraId="0E95FF97" w14:textId="77777777" w:rsidR="00796E0E" w:rsidRDefault="00000000">
      <w:pPr>
        <w:numPr>
          <w:ilvl w:val="0"/>
          <w:numId w:val="12"/>
        </w:numPr>
        <w:spacing w:before="105" w:after="105" w:line="360" w:lineRule="auto"/>
      </w:pPr>
      <w:r>
        <w:rPr>
          <w:rFonts w:ascii="source serif 4" w:eastAsia="source serif 4" w:hAnsi="source serif 4" w:cs="source serif 4"/>
          <w:b/>
          <w:color w:val="000000"/>
        </w:rPr>
        <w:t>Model first vs subsequent reinforcement separately</w:t>
      </w:r>
      <w:r>
        <w:rPr>
          <w:rFonts w:ascii="source serif 4" w:eastAsia="source serif 4" w:hAnsi="source serif 4" w:cs="source serif 4"/>
          <w:color w:val="000000"/>
        </w:rPr>
        <w:t>, assigning Tiefbau costs only to the first, and lower “empty‑pipe” costs to additional parallel cables.</w:t>
      </w:r>
    </w:p>
    <w:p w14:paraId="0E95FF98" w14:textId="77777777" w:rsidR="00796E0E" w:rsidRDefault="00000000">
      <w:pPr>
        <w:numPr>
          <w:ilvl w:val="0"/>
          <w:numId w:val="12"/>
        </w:numPr>
        <w:spacing w:before="105" w:after="105" w:line="360" w:lineRule="auto"/>
      </w:pPr>
      <w:r>
        <w:rPr>
          <w:rFonts w:ascii="source serif 4" w:eastAsia="source serif 4" w:hAnsi="source serif 4" w:cs="source serif 4"/>
          <w:b/>
          <w:color w:val="000000"/>
        </w:rPr>
        <w:t>Include optional smart‑grid measures</w:t>
      </w:r>
      <w:r>
        <w:rPr>
          <w:rFonts w:ascii="source serif 4" w:eastAsia="source serif 4" w:hAnsi="source serif 4" w:cs="source serif 4"/>
          <w:color w:val="000000"/>
        </w:rPr>
        <w:t xml:space="preserve"> (rONT, Spitzenkappung, 14a control) as reduction factors on reinforcement volumes with their own cost terms.</w:t>
      </w:r>
    </w:p>
    <w:p w14:paraId="0E95FF99" w14:textId="77777777" w:rsidR="00796E0E" w:rsidRDefault="00000000">
      <w:pPr>
        <w:numPr>
          <w:ilvl w:val="0"/>
          <w:numId w:val="12"/>
        </w:numPr>
        <w:spacing w:before="105" w:after="105" w:line="360" w:lineRule="auto"/>
      </w:pPr>
      <w:r>
        <w:rPr>
          <w:rFonts w:ascii="source serif 4" w:eastAsia="source serif 4" w:hAnsi="source serif 4" w:cs="source serif 4"/>
          <w:b/>
          <w:color w:val="000000"/>
        </w:rPr>
        <w:t>Check aggregated results</w:t>
      </w:r>
      <w:r>
        <w:rPr>
          <w:rFonts w:ascii="source serif 4" w:eastAsia="source serif 4" w:hAnsi="source serif 4" w:cs="source serif 4"/>
          <w:color w:val="000000"/>
        </w:rPr>
        <w:t xml:space="preserve"> against BNetzA and major Verteilnetzstudien to ensure your total expansion cost is in a realistic national corridor.</w:t>
      </w:r>
    </w:p>
    <w:p w14:paraId="0E95FF9A" w14:textId="77777777" w:rsidR="00796E0E" w:rsidRDefault="00000000">
      <w:pPr>
        <w:spacing w:after="210" w:line="360" w:lineRule="auto"/>
      </w:pPr>
      <w:r>
        <w:rPr>
          <w:rFonts w:ascii="source serif 4" w:eastAsia="source serif 4" w:hAnsi="source serif 4" w:cs="source serif 4"/>
          <w:color w:val="000000"/>
        </w:rPr>
        <w:t>If you share the specific per‑meter and per‑transformer values currently used in your word document, we can walk through a line‑by‑line comparison against these benchmarks to highlight where they are already well‑supported and where further adjustment or differentiation (e.g., between first and subsequent reinforcements) would improve accuracy.</w:t>
      </w:r>
      <w:r>
        <w:rPr>
          <w:rFonts w:ascii="source serif 4" w:eastAsia="source serif 4" w:hAnsi="source serif 4" w:cs="source serif 4"/>
          <w:color w:val="000000"/>
        </w:rPr>
        <w:br/>
      </w:r>
    </w:p>
    <w:p w14:paraId="0E95FF9B" w14:textId="77777777" w:rsidR="00796E0E" w:rsidRDefault="00000000">
      <w:pPr>
        <w:spacing w:line="360" w:lineRule="auto"/>
      </w:pPr>
      <w:r>
        <w:rPr>
          <w:rFonts w:ascii="source serif 4" w:eastAsia="source serif 4" w:hAnsi="source serif 4" w:cs="source serif 4"/>
          <w:color w:val="000000"/>
        </w:rPr>
        <w:t>⁂</w:t>
      </w:r>
    </w:p>
    <w:p w14:paraId="0E95FF9C" w14:textId="77777777" w:rsidR="00796E0E" w:rsidRDefault="00000000">
      <w:pPr>
        <w:spacing w:before="210" w:after="0" w:line="360" w:lineRule="auto"/>
      </w:pPr>
      <w:r>
        <w:rPr>
          <w:noProof/>
        </w:rPr>
      </w:r>
      <w:r>
        <w:rPr>
          <w:noProof/>
        </w:rPr>
        <w:pict w14:anchorId="0E95FFC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5FF9D" w14:textId="77777777" w:rsidR="00796E0E" w:rsidRDefault="00000000">
      <w:pPr>
        <w:numPr>
          <w:ilvl w:val="0"/>
          <w:numId w:val="14"/>
        </w:numPr>
        <w:spacing w:after="210" w:line="360" w:lineRule="auto"/>
      </w:pPr>
      <w:bookmarkStart w:id="92" w:name="fn1"/>
      <w:bookmarkEnd w:id="92"/>
      <w:r>
        <w:rPr>
          <w:rFonts w:ascii="source serif 4" w:eastAsia="source serif 4" w:hAnsi="source serif 4" w:cs="source serif 4"/>
          <w:color w:val="000000"/>
          <w:sz w:val="18"/>
        </w:rPr>
        <w:t xml:space="preserve">WEI202-2.pdf                  </w:t>
      </w:r>
    </w:p>
    <w:p w14:paraId="0E95FF9E" w14:textId="77777777" w:rsidR="00796E0E" w:rsidRPr="003B595D" w:rsidRDefault="00000000">
      <w:pPr>
        <w:numPr>
          <w:ilvl w:val="0"/>
          <w:numId w:val="14"/>
        </w:numPr>
        <w:spacing w:after="210" w:line="360" w:lineRule="auto"/>
        <w:rPr>
          <w:lang w:val="de-DE"/>
        </w:rPr>
      </w:pPr>
      <w:bookmarkStart w:id="93" w:name="fn2"/>
      <w:bookmarkEnd w:id="93"/>
      <w:r w:rsidRPr="003B595D">
        <w:rPr>
          <w:rFonts w:ascii="source serif 4" w:eastAsia="source serif 4" w:hAnsi="source serif 4" w:cs="source serif 4"/>
          <w:color w:val="000000"/>
          <w:sz w:val="18"/>
          <w:lang w:val="de-DE"/>
        </w:rPr>
        <w:t xml:space="preserve">Wintzek2021-Planungs-und-Betriebsgrundsatze-fur-stadtische-Verteilnetze-4.pdf                                             </w:t>
      </w:r>
    </w:p>
    <w:p w14:paraId="0E95FF9F" w14:textId="77777777" w:rsidR="00796E0E" w:rsidRDefault="00000000">
      <w:pPr>
        <w:numPr>
          <w:ilvl w:val="0"/>
          <w:numId w:val="14"/>
        </w:numPr>
        <w:spacing w:after="210" w:line="360" w:lineRule="auto"/>
      </w:pPr>
      <w:bookmarkStart w:id="94" w:name="fn3"/>
      <w:bookmarkEnd w:id="94"/>
      <w:r>
        <w:rPr>
          <w:rFonts w:ascii="source serif 4" w:eastAsia="source serif 4" w:hAnsi="source serif 4" w:cs="source serif 4"/>
          <w:color w:val="000000"/>
          <w:sz w:val="18"/>
        </w:rPr>
        <w:t xml:space="preserve">Verteilnetzstudie_BW-3.pdf                                                       </w:t>
      </w:r>
    </w:p>
    <w:bookmarkStart w:id="95" w:name="fn4"/>
    <w:bookmarkEnd w:id="95"/>
    <w:p w14:paraId="0E95FFA0" w14:textId="77777777" w:rsidR="00796E0E" w:rsidRDefault="00000000">
      <w:pPr>
        <w:numPr>
          <w:ilvl w:val="0"/>
          <w:numId w:val="14"/>
        </w:numPr>
        <w:spacing w:after="210" w:line="360" w:lineRule="auto"/>
      </w:pPr>
      <w:r>
        <w:fldChar w:fldCharType="begin"/>
      </w:r>
      <w:r>
        <w:instrText>HYPERLINK "https://www.bundesnetzagentur.de/DE/Fachthemen/ElektrizitaetundGas/NEP/VerteilerNetz/start.html" \h</w:instrText>
      </w:r>
      <w:r>
        <w:fldChar w:fldCharType="separate"/>
      </w:r>
      <w:r>
        <w:rPr>
          <w:rFonts w:ascii="source sans 3" w:eastAsia="source sans 3" w:hAnsi="source sans 3" w:cs="source sans 3"/>
          <w:sz w:val="18"/>
          <w:u w:val="single"/>
        </w:rPr>
        <w:t>https://www.bundesnetzagentur.de/DE/Fachthemen/ElektrizitaetundGas/NEP/VerteilerNetz/start.html</w:t>
      </w:r>
      <w:r>
        <w:fldChar w:fldCharType="end"/>
      </w:r>
      <w:r>
        <w:rPr>
          <w:rFonts w:ascii="source serif 4" w:eastAsia="source serif 4" w:hAnsi="source serif 4" w:cs="source serif 4"/>
          <w:color w:val="000000"/>
          <w:sz w:val="18"/>
        </w:rPr>
        <w:t xml:space="preserve">         </w:t>
      </w:r>
    </w:p>
    <w:bookmarkStart w:id="96" w:name="fn5"/>
    <w:bookmarkEnd w:id="96"/>
    <w:p w14:paraId="0E95FFA1" w14:textId="77777777" w:rsidR="00796E0E" w:rsidRDefault="00000000">
      <w:pPr>
        <w:numPr>
          <w:ilvl w:val="0"/>
          <w:numId w:val="14"/>
        </w:numPr>
        <w:spacing w:after="210" w:line="360" w:lineRule="auto"/>
      </w:pPr>
      <w:r>
        <w:fldChar w:fldCharType="begin"/>
      </w:r>
      <w:r>
        <w:instrText>HYPERLINK "https://de.statista.com/statistik/daten/studie/1338912/umfrage/kosten-fuer-netzausbau-bis-2030/" \h</w:instrText>
      </w:r>
      <w:r>
        <w:fldChar w:fldCharType="separate"/>
      </w:r>
      <w:r>
        <w:rPr>
          <w:rFonts w:ascii="source sans 3" w:eastAsia="source sans 3" w:hAnsi="source sans 3" w:cs="source sans 3"/>
          <w:sz w:val="18"/>
          <w:u w:val="single"/>
        </w:rPr>
        <w:t>https://de.statista.com/statistik/daten/studie/1338912/umfrage/kosten-fuer-netzausbau-bis-2030/</w:t>
      </w:r>
      <w:r>
        <w:fldChar w:fldCharType="end"/>
      </w:r>
      <w:r>
        <w:rPr>
          <w:rFonts w:ascii="source serif 4" w:eastAsia="source serif 4" w:hAnsi="source serif 4" w:cs="source serif 4"/>
          <w:color w:val="000000"/>
          <w:sz w:val="18"/>
        </w:rPr>
        <w:t xml:space="preserve">      </w:t>
      </w:r>
    </w:p>
    <w:p w14:paraId="0E95FFA2" w14:textId="77777777" w:rsidR="00796E0E" w:rsidRDefault="00000000">
      <w:pPr>
        <w:numPr>
          <w:ilvl w:val="0"/>
          <w:numId w:val="14"/>
        </w:numPr>
        <w:spacing w:after="210" w:line="360" w:lineRule="auto"/>
      </w:pPr>
      <w:bookmarkStart w:id="97" w:name="fn6"/>
      <w:bookmarkEnd w:id="97"/>
      <w:r>
        <w:rPr>
          <w:rFonts w:ascii="source serif 4" w:eastAsia="source serif 4" w:hAnsi="source serif 4" w:cs="source serif 4"/>
          <w:color w:val="000000"/>
          <w:sz w:val="18"/>
        </w:rPr>
        <w:t xml:space="preserve">Bundesnetzagentur2025-AgNes-Diskussionspapier-8.pdf </w:t>
      </w:r>
    </w:p>
    <w:p w14:paraId="0E95FFA3" w14:textId="77777777" w:rsidR="00796E0E" w:rsidRDefault="00000000">
      <w:pPr>
        <w:numPr>
          <w:ilvl w:val="0"/>
          <w:numId w:val="14"/>
        </w:numPr>
        <w:spacing w:after="210" w:line="360" w:lineRule="auto"/>
      </w:pPr>
      <w:bookmarkStart w:id="98" w:name="fn7"/>
      <w:bookmarkEnd w:id="98"/>
      <w:r>
        <w:rPr>
          <w:rFonts w:ascii="source serif 4" w:eastAsia="source serif 4" w:hAnsi="source serif 4" w:cs="source serif 4"/>
          <w:color w:val="000000"/>
          <w:sz w:val="18"/>
        </w:rPr>
        <w:t xml:space="preserve">dena2025-Verteilnetzstudie_II-9.pdf </w:t>
      </w:r>
    </w:p>
    <w:p w14:paraId="0E95FFA4" w14:textId="77777777" w:rsidR="00796E0E" w:rsidRPr="003B595D" w:rsidRDefault="00000000">
      <w:pPr>
        <w:numPr>
          <w:ilvl w:val="0"/>
          <w:numId w:val="14"/>
        </w:numPr>
        <w:spacing w:after="210" w:line="360" w:lineRule="auto"/>
        <w:rPr>
          <w:lang w:val="de-DE"/>
        </w:rPr>
      </w:pPr>
      <w:bookmarkStart w:id="99" w:name="fn8"/>
      <w:bookmarkEnd w:id="99"/>
      <w:r w:rsidRPr="003B595D">
        <w:rPr>
          <w:rFonts w:ascii="source serif 4" w:eastAsia="source serif 4" w:hAnsi="source serif 4" w:cs="source serif 4"/>
          <w:color w:val="000000"/>
          <w:sz w:val="18"/>
          <w:lang w:val="de-DE"/>
        </w:rPr>
        <w:t xml:space="preserve">Fraunhofer2025-Planung-von-Verteilnetzen-der-Zukunft-10.pdf </w:t>
      </w:r>
    </w:p>
    <w:p w14:paraId="0E95FFA5" w14:textId="77777777" w:rsidR="00796E0E" w:rsidRDefault="00000000">
      <w:pPr>
        <w:numPr>
          <w:ilvl w:val="0"/>
          <w:numId w:val="14"/>
        </w:numPr>
        <w:spacing w:after="210" w:line="360" w:lineRule="auto"/>
      </w:pPr>
      <w:bookmarkStart w:id="100" w:name="fn9"/>
      <w:bookmarkEnd w:id="100"/>
      <w:r>
        <w:rPr>
          <w:rFonts w:ascii="source serif 4" w:eastAsia="source serif 4" w:hAnsi="source serif 4" w:cs="source serif 4"/>
          <w:color w:val="000000"/>
          <w:sz w:val="18"/>
        </w:rPr>
        <w:t xml:space="preserve">German-LV-Grid-Expansion-Cost-Analysis-11.docx </w:t>
      </w:r>
    </w:p>
    <w:p w14:paraId="0E95FFA6" w14:textId="77777777" w:rsidR="00796E0E" w:rsidRDefault="00000000">
      <w:pPr>
        <w:numPr>
          <w:ilvl w:val="0"/>
          <w:numId w:val="14"/>
        </w:numPr>
        <w:spacing w:after="210" w:line="360" w:lineRule="auto"/>
      </w:pPr>
      <w:bookmarkStart w:id="101" w:name="fn10"/>
      <w:bookmarkEnd w:id="101"/>
      <w:r>
        <w:rPr>
          <w:rFonts w:ascii="source serif 4" w:eastAsia="source serif 4" w:hAnsi="source serif 4" w:cs="source serif 4"/>
          <w:color w:val="000000"/>
          <w:sz w:val="18"/>
        </w:rPr>
        <w:t xml:space="preserve">German-LV-Grid-Expansion-Cost-Analysis-12.docx </w:t>
      </w:r>
    </w:p>
    <w:bookmarkStart w:id="102" w:name="fn11"/>
    <w:bookmarkEnd w:id="102"/>
    <w:p w14:paraId="0E95FFA7" w14:textId="77777777" w:rsidR="00796E0E" w:rsidRDefault="00000000">
      <w:pPr>
        <w:numPr>
          <w:ilvl w:val="0"/>
          <w:numId w:val="14"/>
        </w:numPr>
        <w:spacing w:after="210" w:line="360" w:lineRule="auto"/>
      </w:pPr>
      <w:r>
        <w:lastRenderedPageBreak/>
        <w:fldChar w:fldCharType="begin"/>
      </w:r>
      <w:r>
        <w:instrText>HYPERLINK "https://www.bundesnetzagentur.de/DE/Fachthemen/ElektrizitaetundGas/VerteilerNetz/_DL/ZustandAusbauVerteilernetze2022.pdf?__blob=publicationFile&amp;v=1" \h</w:instrText>
      </w:r>
      <w:r>
        <w:fldChar w:fldCharType="separate"/>
      </w:r>
      <w:r>
        <w:rPr>
          <w:rFonts w:ascii="source sans 3" w:eastAsia="source sans 3" w:hAnsi="source sans 3" w:cs="source sans 3"/>
          <w:sz w:val="18"/>
          <w:u w:val="single"/>
        </w:rPr>
        <w:t>https://www.bundesnetzagentur.de/DE/Fachthemen/ElektrizitaetundGas/VerteilerNetz/_DL/ZustandAusbauVerteilernetze2022.pdf?__blob=publicationFile&amp;v=1</w:t>
      </w:r>
      <w:r>
        <w:fldChar w:fldCharType="end"/>
      </w:r>
      <w:r>
        <w:rPr>
          <w:rFonts w:ascii="source serif 4" w:eastAsia="source serif 4" w:hAnsi="source serif 4" w:cs="source serif 4"/>
          <w:color w:val="000000"/>
          <w:sz w:val="18"/>
        </w:rPr>
        <w:t xml:space="preserve"> </w:t>
      </w:r>
    </w:p>
    <w:bookmarkStart w:id="103" w:name="fn12"/>
    <w:bookmarkEnd w:id="103"/>
    <w:p w14:paraId="0E95FFA8" w14:textId="77777777" w:rsidR="00796E0E" w:rsidRDefault="00000000">
      <w:pPr>
        <w:numPr>
          <w:ilvl w:val="0"/>
          <w:numId w:val="14"/>
        </w:numPr>
        <w:spacing w:after="210" w:line="360" w:lineRule="auto"/>
      </w:pPr>
      <w:r>
        <w:fldChar w:fldCharType="begin"/>
      </w:r>
      <w:r>
        <w:instrText>HYPERLINK "https://www.dena.de/fileadmin/dena/Publikationen/PDFs/2025/dena_Verteilnetzstudie_II.pdf" \h</w:instrText>
      </w:r>
      <w:r>
        <w:fldChar w:fldCharType="separate"/>
      </w:r>
      <w:r>
        <w:rPr>
          <w:rFonts w:ascii="source sans 3" w:eastAsia="source sans 3" w:hAnsi="source sans 3" w:cs="source sans 3"/>
          <w:sz w:val="18"/>
          <w:u w:val="single"/>
        </w:rPr>
        <w:t>https://www.dena.de/fileadmin/dena/Publikationen/PDFs/2025/dena_Verteilnetzstudie_II.pdf</w:t>
      </w:r>
      <w:r>
        <w:fldChar w:fldCharType="end"/>
      </w:r>
      <w:r>
        <w:rPr>
          <w:rFonts w:ascii="source serif 4" w:eastAsia="source serif 4" w:hAnsi="source serif 4" w:cs="source serif 4"/>
          <w:color w:val="000000"/>
          <w:sz w:val="18"/>
        </w:rPr>
        <w:t xml:space="preserve"> </w:t>
      </w:r>
    </w:p>
    <w:bookmarkStart w:id="104" w:name="fn13"/>
    <w:bookmarkEnd w:id="104"/>
    <w:p w14:paraId="0E95FFA9" w14:textId="77777777" w:rsidR="00796E0E" w:rsidRDefault="00000000">
      <w:pPr>
        <w:numPr>
          <w:ilvl w:val="0"/>
          <w:numId w:val="14"/>
        </w:numPr>
        <w:spacing w:after="210" w:line="360" w:lineRule="auto"/>
      </w:pPr>
      <w:r>
        <w:fldChar w:fldCharType="begin"/>
      </w:r>
      <w:r>
        <w:instrText>HYPERLINK "https://www.dena.de/fileadmin/dena/Publikationen/PDFs/2025/Gutachten_VNSII.pdf" \h</w:instrText>
      </w:r>
      <w:r>
        <w:fldChar w:fldCharType="separate"/>
      </w:r>
      <w:r>
        <w:rPr>
          <w:rFonts w:ascii="source sans 3" w:eastAsia="source sans 3" w:hAnsi="source sans 3" w:cs="source sans 3"/>
          <w:sz w:val="18"/>
          <w:u w:val="single"/>
        </w:rPr>
        <w:t>https://www.dena.de/fileadmin/dena/Publikationen/PDFs/2025/Gutachten_VNSII.pdf</w:t>
      </w:r>
      <w:r>
        <w:fldChar w:fldCharType="end"/>
      </w:r>
      <w:r>
        <w:rPr>
          <w:rFonts w:ascii="source serif 4" w:eastAsia="source serif 4" w:hAnsi="source serif 4" w:cs="source serif 4"/>
          <w:color w:val="000000"/>
          <w:sz w:val="18"/>
        </w:rPr>
        <w:t xml:space="preserve"> </w:t>
      </w:r>
    </w:p>
    <w:bookmarkStart w:id="105" w:name="fn14"/>
    <w:bookmarkEnd w:id="105"/>
    <w:p w14:paraId="0E95FFAA" w14:textId="77777777" w:rsidR="00796E0E" w:rsidRDefault="00000000">
      <w:pPr>
        <w:numPr>
          <w:ilvl w:val="0"/>
          <w:numId w:val="14"/>
        </w:numPr>
        <w:spacing w:after="210" w:line="360" w:lineRule="auto"/>
      </w:pPr>
      <w:r>
        <w:fldChar w:fldCharType="begin"/>
      </w:r>
      <w:r>
        <w:instrText>HYPERLINK "https://www.dena.de/fileadmin/dena/Publikationen/PDFs/2025/Verteilnetzstudie_II/dena-Verteilnetzstudie_II_Webinar_6_Finanzierung_der_Verteilnetztransformation.pdf" \h</w:instrText>
      </w:r>
      <w:r>
        <w:fldChar w:fldCharType="separate"/>
      </w:r>
      <w:r>
        <w:rPr>
          <w:rFonts w:ascii="source sans 3" w:eastAsia="source sans 3" w:hAnsi="source sans 3" w:cs="source sans 3"/>
          <w:sz w:val="18"/>
          <w:u w:val="single"/>
        </w:rPr>
        <w:t>https://www.dena.de/fileadmin/dena/Publikationen/PDFs/2025/Verteilnetzstudie_II/dena-Verteilnetzstudie_II_Webinar_6_Finanzierung_der_Verteilnetztransformation.pdf</w:t>
      </w:r>
      <w:r>
        <w:fldChar w:fldCharType="end"/>
      </w:r>
      <w:r>
        <w:rPr>
          <w:rFonts w:ascii="source serif 4" w:eastAsia="source serif 4" w:hAnsi="source serif 4" w:cs="source serif 4"/>
          <w:color w:val="000000"/>
          <w:sz w:val="18"/>
        </w:rPr>
        <w:t xml:space="preserve"> </w:t>
      </w:r>
    </w:p>
    <w:bookmarkStart w:id="106" w:name="fn15"/>
    <w:bookmarkEnd w:id="106"/>
    <w:p w14:paraId="0E95FFAB" w14:textId="77777777" w:rsidR="00796E0E" w:rsidRDefault="00000000">
      <w:pPr>
        <w:numPr>
          <w:ilvl w:val="0"/>
          <w:numId w:val="14"/>
        </w:numPr>
        <w:spacing w:after="210" w:line="360" w:lineRule="auto"/>
      </w:pPr>
      <w:r>
        <w:fldChar w:fldCharType="begin"/>
      </w:r>
      <w:r>
        <w:instrText>HYPERLINK "https://www.dena.de/fileadmin/dena/Dokumente/Pdf/9100_dena-Verteilnetzstudie_Abschlussbericht.pdf" \h</w:instrText>
      </w:r>
      <w:r>
        <w:fldChar w:fldCharType="separate"/>
      </w:r>
      <w:r>
        <w:rPr>
          <w:rFonts w:ascii="source sans 3" w:eastAsia="source sans 3" w:hAnsi="source sans 3" w:cs="source sans 3"/>
          <w:sz w:val="18"/>
          <w:u w:val="single"/>
        </w:rPr>
        <w:t>https://www.dena.de/fileadmin/dena/Dokumente/Pdf/9100_dena-Verteilnetzstudie_Abschlussbericht.pdf</w:t>
      </w:r>
      <w:r>
        <w:fldChar w:fldCharType="end"/>
      </w:r>
      <w:r>
        <w:rPr>
          <w:rFonts w:ascii="source serif 4" w:eastAsia="source serif 4" w:hAnsi="source serif 4" w:cs="source serif 4"/>
          <w:color w:val="000000"/>
          <w:sz w:val="18"/>
        </w:rPr>
        <w:t xml:space="preserve"> </w:t>
      </w:r>
    </w:p>
    <w:bookmarkStart w:id="107" w:name="fn16"/>
    <w:bookmarkEnd w:id="107"/>
    <w:p w14:paraId="0E95FFAC" w14:textId="77777777" w:rsidR="00796E0E" w:rsidRDefault="00000000">
      <w:pPr>
        <w:numPr>
          <w:ilvl w:val="0"/>
          <w:numId w:val="14"/>
        </w:numPr>
        <w:spacing w:after="210" w:line="360" w:lineRule="auto"/>
      </w:pPr>
      <w:r>
        <w:fldChar w:fldCharType="begin"/>
      </w:r>
      <w:r>
        <w:instrText>HYPERLINK "https://www.cines.fraunhofer.de/content/dam/zv/cines/dokumente/publikationen/energiesystem/2025-Systemanalyse-Empfehlungen-Industrie.pdf" \h</w:instrText>
      </w:r>
      <w:r>
        <w:fldChar w:fldCharType="separate"/>
      </w:r>
      <w:r>
        <w:rPr>
          <w:rFonts w:ascii="source sans 3" w:eastAsia="source sans 3" w:hAnsi="source sans 3" w:cs="source sans 3"/>
          <w:sz w:val="18"/>
          <w:u w:val="single"/>
        </w:rPr>
        <w:t>https://www.cines.fraunhofer.de/content/dam/zv/cines/dokumente/publikationen/energiesystem/2025-Systemanalyse-Empfehlungen-Industrie.pdf</w:t>
      </w:r>
      <w:r>
        <w:fldChar w:fldCharType="end"/>
      </w:r>
      <w:r>
        <w:rPr>
          <w:rFonts w:ascii="source serif 4" w:eastAsia="source serif 4" w:hAnsi="source serif 4" w:cs="source serif 4"/>
          <w:color w:val="000000"/>
          <w:sz w:val="18"/>
        </w:rPr>
        <w:t xml:space="preserve"> </w:t>
      </w:r>
    </w:p>
    <w:bookmarkStart w:id="108" w:name="fn17"/>
    <w:bookmarkEnd w:id="108"/>
    <w:p w14:paraId="0E95FFAD" w14:textId="77777777" w:rsidR="00796E0E" w:rsidRDefault="00000000">
      <w:pPr>
        <w:numPr>
          <w:ilvl w:val="0"/>
          <w:numId w:val="14"/>
        </w:numPr>
        <w:spacing w:after="210" w:line="360" w:lineRule="auto"/>
      </w:pPr>
      <w:r>
        <w:fldChar w:fldCharType="begin"/>
      </w:r>
      <w:r>
        <w:instrText>HYPERLINK "https://www.dena.de/infocenter/dena-verteilnetzstudie-ii/" \h</w:instrText>
      </w:r>
      <w:r>
        <w:fldChar w:fldCharType="separate"/>
      </w:r>
      <w:r>
        <w:rPr>
          <w:rFonts w:ascii="source sans 3" w:eastAsia="source sans 3" w:hAnsi="source sans 3" w:cs="source sans 3"/>
          <w:sz w:val="18"/>
          <w:u w:val="single"/>
        </w:rPr>
        <w:t>https://www.dena.de/infocenter/dena-verteilnetzstudie-ii/</w:t>
      </w:r>
      <w:r>
        <w:fldChar w:fldCharType="end"/>
      </w:r>
      <w:r>
        <w:rPr>
          <w:rFonts w:ascii="source serif 4" w:eastAsia="source serif 4" w:hAnsi="source serif 4" w:cs="source serif 4"/>
          <w:color w:val="000000"/>
          <w:sz w:val="18"/>
        </w:rPr>
        <w:t xml:space="preserve"> </w:t>
      </w:r>
    </w:p>
    <w:bookmarkStart w:id="109" w:name="fn18"/>
    <w:bookmarkEnd w:id="109"/>
    <w:p w14:paraId="0E95FFAE" w14:textId="77777777" w:rsidR="00796E0E" w:rsidRDefault="00000000">
      <w:pPr>
        <w:numPr>
          <w:ilvl w:val="0"/>
          <w:numId w:val="14"/>
        </w:numPr>
        <w:spacing w:after="210" w:line="360" w:lineRule="auto"/>
      </w:pPr>
      <w:r>
        <w:fldChar w:fldCharType="begin"/>
      </w:r>
      <w:r>
        <w:instrText>HYPERLINK "https://data.bundesnetzagentur.de/Bundesnetzagentur/SharedDocs/Mediathek/Taetigkeitsberichte/2023/taetigkeitsberichttk20222023.pdf" \h</w:instrText>
      </w:r>
      <w:r>
        <w:fldChar w:fldCharType="separate"/>
      </w:r>
      <w:r>
        <w:rPr>
          <w:rFonts w:ascii="source sans 3" w:eastAsia="source sans 3" w:hAnsi="source sans 3" w:cs="source sans 3"/>
          <w:sz w:val="18"/>
          <w:u w:val="single"/>
        </w:rPr>
        <w:t>https://data.bundesnetzagentur.de/Bundesnetzagentur/SharedDocs/Mediathek/Taetigkeitsberichte/2023/taetigkeitsberichttk20222023.pdf</w:t>
      </w:r>
      <w:r>
        <w:fldChar w:fldCharType="end"/>
      </w:r>
      <w:r>
        <w:rPr>
          <w:rFonts w:ascii="source serif 4" w:eastAsia="source serif 4" w:hAnsi="source serif 4" w:cs="source serif 4"/>
          <w:color w:val="000000"/>
          <w:sz w:val="18"/>
        </w:rPr>
        <w:t xml:space="preserve"> </w:t>
      </w:r>
    </w:p>
    <w:bookmarkStart w:id="110" w:name="fn19"/>
    <w:bookmarkEnd w:id="110"/>
    <w:p w14:paraId="0E95FFAF" w14:textId="77777777" w:rsidR="00796E0E" w:rsidRDefault="00000000">
      <w:pPr>
        <w:numPr>
          <w:ilvl w:val="0"/>
          <w:numId w:val="14"/>
        </w:numPr>
        <w:spacing w:after="210" w:line="360" w:lineRule="auto"/>
      </w:pPr>
      <w:r>
        <w:fldChar w:fldCharType="begin"/>
      </w:r>
      <w:r>
        <w:instrText>HYPERLINK "https://www.osti.gov/etdeweb/servlets/purl/21401027" \h</w:instrText>
      </w:r>
      <w:r>
        <w:fldChar w:fldCharType="separate"/>
      </w:r>
      <w:r>
        <w:rPr>
          <w:rFonts w:ascii="source sans 3" w:eastAsia="source sans 3" w:hAnsi="source sans 3" w:cs="source sans 3"/>
          <w:sz w:val="18"/>
          <w:u w:val="single"/>
        </w:rPr>
        <w:t>https://www.osti.gov/etdeweb/servlets/purl/21401027</w:t>
      </w:r>
      <w:r>
        <w:fldChar w:fldCharType="end"/>
      </w:r>
      <w:r>
        <w:rPr>
          <w:rFonts w:ascii="source serif 4" w:eastAsia="source serif 4" w:hAnsi="source serif 4" w:cs="source serif 4"/>
          <w:color w:val="000000"/>
          <w:sz w:val="18"/>
        </w:rPr>
        <w:t xml:space="preserve"> </w:t>
      </w:r>
    </w:p>
    <w:bookmarkStart w:id="111" w:name="fn20"/>
    <w:bookmarkEnd w:id="111"/>
    <w:p w14:paraId="0E95FFB0" w14:textId="77777777" w:rsidR="00796E0E" w:rsidRDefault="00000000">
      <w:pPr>
        <w:numPr>
          <w:ilvl w:val="0"/>
          <w:numId w:val="14"/>
        </w:numPr>
        <w:spacing w:after="210" w:line="360" w:lineRule="auto"/>
      </w:pPr>
      <w:r>
        <w:fldChar w:fldCharType="begin"/>
      </w:r>
      <w:r>
        <w:instrText>HYPERLINK "https://cdn.swk.de/assets/download/OLT_NGN_Partner_Talk_OLT10yr_2025_FINAL.pdf" \h</w:instrText>
      </w:r>
      <w:r>
        <w:fldChar w:fldCharType="separate"/>
      </w:r>
      <w:r>
        <w:rPr>
          <w:rFonts w:ascii="source sans 3" w:eastAsia="source sans 3" w:hAnsi="source sans 3" w:cs="source sans 3"/>
          <w:sz w:val="18"/>
          <w:u w:val="single"/>
        </w:rPr>
        <w:t>https://cdn.swk.de/assets/download/OLT_NGN_Partner_Talk_OLT10yr_2025_FINAL.pdf</w:t>
      </w:r>
      <w:r>
        <w:fldChar w:fldCharType="end"/>
      </w:r>
      <w:r>
        <w:rPr>
          <w:rFonts w:ascii="source serif 4" w:eastAsia="source serif 4" w:hAnsi="source serif 4" w:cs="source serif 4"/>
          <w:color w:val="000000"/>
          <w:sz w:val="18"/>
        </w:rPr>
        <w:t xml:space="preserve"> </w:t>
      </w:r>
    </w:p>
    <w:bookmarkStart w:id="112" w:name="fn21"/>
    <w:bookmarkEnd w:id="112"/>
    <w:p w14:paraId="0E95FFB1" w14:textId="77777777" w:rsidR="00796E0E" w:rsidRDefault="00000000">
      <w:pPr>
        <w:numPr>
          <w:ilvl w:val="0"/>
          <w:numId w:val="14"/>
        </w:numPr>
        <w:spacing w:after="210" w:line="360" w:lineRule="auto"/>
      </w:pPr>
      <w:r>
        <w:fldChar w:fldCharType="begin"/>
      </w:r>
      <w:r>
        <w:instrText>HYPERLINK "https://data.bundesnetzagentur.de/Bundesnetzagentur/SharedDocs/Mediathek/Monitoringberichte/monitoringberichtenergie2022.pdf" \h</w:instrText>
      </w:r>
      <w:r>
        <w:fldChar w:fldCharType="separate"/>
      </w:r>
      <w:r>
        <w:rPr>
          <w:rFonts w:ascii="source sans 3" w:eastAsia="source sans 3" w:hAnsi="source sans 3" w:cs="source sans 3"/>
          <w:sz w:val="18"/>
          <w:u w:val="single"/>
        </w:rPr>
        <w:t>https://data.bundesnetzagentur.de/Bundesnetzagentur/SharedDocs/Mediathek/Monitoringberichte/monitoringberichtenergie2022.pdf</w:t>
      </w:r>
      <w:r>
        <w:fldChar w:fldCharType="end"/>
      </w:r>
      <w:r>
        <w:rPr>
          <w:rFonts w:ascii="source serif 4" w:eastAsia="source serif 4" w:hAnsi="source serif 4" w:cs="source serif 4"/>
          <w:color w:val="000000"/>
          <w:sz w:val="18"/>
        </w:rPr>
        <w:t xml:space="preserve"> </w:t>
      </w:r>
    </w:p>
    <w:bookmarkStart w:id="113" w:name="fn22"/>
    <w:bookmarkEnd w:id="113"/>
    <w:p w14:paraId="0E95FFB2" w14:textId="77777777" w:rsidR="00796E0E" w:rsidRDefault="00000000">
      <w:pPr>
        <w:numPr>
          <w:ilvl w:val="0"/>
          <w:numId w:val="14"/>
        </w:numPr>
        <w:spacing w:after="210" w:line="360" w:lineRule="auto"/>
      </w:pPr>
      <w:r>
        <w:fldChar w:fldCharType="begin"/>
      </w:r>
      <w:r>
        <w:instrText>HYPERLINK "https://www.netzentwicklungsplan.de/nep-file-download?file=dena-netzstudie_ii.pdf" \h</w:instrText>
      </w:r>
      <w:r>
        <w:fldChar w:fldCharType="separate"/>
      </w:r>
      <w:r>
        <w:rPr>
          <w:rFonts w:ascii="source sans 3" w:eastAsia="source sans 3" w:hAnsi="source sans 3" w:cs="source sans 3"/>
          <w:sz w:val="18"/>
          <w:u w:val="single"/>
        </w:rPr>
        <w:t>https://www.netzentwicklungsplan.de/nep-file-download?file=dena-netzstudie_ii.pdf</w:t>
      </w:r>
      <w:r>
        <w:fldChar w:fldCharType="end"/>
      </w:r>
      <w:r>
        <w:rPr>
          <w:rFonts w:ascii="source serif 4" w:eastAsia="source serif 4" w:hAnsi="source serif 4" w:cs="source serif 4"/>
          <w:color w:val="000000"/>
          <w:sz w:val="18"/>
        </w:rPr>
        <w:t xml:space="preserve"> </w:t>
      </w:r>
    </w:p>
    <w:bookmarkStart w:id="114" w:name="fn23"/>
    <w:bookmarkEnd w:id="114"/>
    <w:p w14:paraId="0E95FFB3" w14:textId="77777777" w:rsidR="00796E0E" w:rsidRDefault="00000000">
      <w:pPr>
        <w:numPr>
          <w:ilvl w:val="0"/>
          <w:numId w:val="14"/>
        </w:numPr>
        <w:spacing w:after="210" w:line="360" w:lineRule="auto"/>
      </w:pPr>
      <w:r>
        <w:fldChar w:fldCharType="begin"/>
      </w:r>
      <w:r>
        <w:instrText>HYPERLINK "https://www.bundesnetzagentur.de/DE/Fachthemen/ElektrizitaetundGas/VerteilerNetz/Smard_Artikel.html" \h</w:instrText>
      </w:r>
      <w:r>
        <w:fldChar w:fldCharType="separate"/>
      </w:r>
      <w:r>
        <w:rPr>
          <w:rFonts w:ascii="source sans 3" w:eastAsia="source sans 3" w:hAnsi="source sans 3" w:cs="source sans 3"/>
          <w:sz w:val="18"/>
          <w:u w:val="single"/>
        </w:rPr>
        <w:t>https://www.bundesnetzagentur.de/DE/Fachthemen/ElektrizitaetundGas/VerteilerNetz/Smard_Artikel.html</w:t>
      </w:r>
      <w:r>
        <w:fldChar w:fldCharType="end"/>
      </w:r>
      <w:r>
        <w:rPr>
          <w:rFonts w:ascii="source serif 4" w:eastAsia="source serif 4" w:hAnsi="source serif 4" w:cs="source serif 4"/>
          <w:color w:val="000000"/>
          <w:sz w:val="18"/>
        </w:rPr>
        <w:t xml:space="preserve"> </w:t>
      </w:r>
    </w:p>
    <w:p w14:paraId="0E95FFB4" w14:textId="77777777" w:rsidR="00796E0E" w:rsidRDefault="00000000">
      <w:pPr>
        <w:numPr>
          <w:ilvl w:val="0"/>
          <w:numId w:val="14"/>
        </w:numPr>
        <w:spacing w:after="210" w:line="360" w:lineRule="auto"/>
      </w:pPr>
      <w:bookmarkStart w:id="115" w:name="fn24"/>
      <w:bookmarkEnd w:id="115"/>
      <w:r>
        <w:rPr>
          <w:rFonts w:ascii="source serif 4" w:eastAsia="source serif 4" w:hAnsi="source serif 4" w:cs="source serif 4"/>
          <w:color w:val="000000"/>
          <w:sz w:val="18"/>
        </w:rPr>
        <w:t xml:space="preserve">NEP2035_Nachfrage-Bedarfsermittlung-2.pdf </w:t>
      </w:r>
    </w:p>
    <w:p w14:paraId="0E95FFB5" w14:textId="77777777" w:rsidR="00796E0E" w:rsidRDefault="00000000">
      <w:pPr>
        <w:numPr>
          <w:ilvl w:val="0"/>
          <w:numId w:val="14"/>
        </w:numPr>
        <w:spacing w:after="210" w:line="360" w:lineRule="auto"/>
      </w:pPr>
      <w:bookmarkStart w:id="116" w:name="fn25"/>
      <w:bookmarkEnd w:id="116"/>
      <w:r>
        <w:rPr>
          <w:rFonts w:ascii="source serif 4" w:eastAsia="source serif 4" w:hAnsi="source serif 4" w:cs="source serif 4"/>
          <w:color w:val="000000"/>
          <w:sz w:val="18"/>
        </w:rPr>
        <w:t xml:space="preserve">Abschlussbericht_dena-Netzstudie_III-5.pdf </w:t>
      </w:r>
    </w:p>
    <w:p w14:paraId="0E95FFB6" w14:textId="77777777" w:rsidR="00796E0E" w:rsidRPr="003B595D" w:rsidRDefault="00000000">
      <w:pPr>
        <w:numPr>
          <w:ilvl w:val="0"/>
          <w:numId w:val="14"/>
        </w:numPr>
        <w:spacing w:after="210" w:line="360" w:lineRule="auto"/>
        <w:rPr>
          <w:lang w:val="de-DE"/>
        </w:rPr>
      </w:pPr>
      <w:bookmarkStart w:id="117" w:name="fn26"/>
      <w:bookmarkEnd w:id="117"/>
      <w:r w:rsidRPr="003B595D">
        <w:rPr>
          <w:rFonts w:ascii="source serif 4" w:eastAsia="source serif 4" w:hAnsi="source serif 4" w:cs="source serif 4"/>
          <w:color w:val="000000"/>
          <w:sz w:val="18"/>
          <w:lang w:val="de-DE"/>
        </w:rPr>
        <w:t xml:space="preserve">Bundesnetzagentur2022-Zustand-und-Ausbau-der-Verteilernetze-7.pdf </w:t>
      </w:r>
    </w:p>
    <w:p w14:paraId="0E95FFB7" w14:textId="77777777" w:rsidR="00796E0E" w:rsidRDefault="00000000">
      <w:pPr>
        <w:numPr>
          <w:ilvl w:val="0"/>
          <w:numId w:val="14"/>
        </w:numPr>
        <w:spacing w:after="210" w:line="360" w:lineRule="auto"/>
      </w:pPr>
      <w:bookmarkStart w:id="118" w:name="fn27"/>
      <w:bookmarkEnd w:id="118"/>
      <w:r>
        <w:rPr>
          <w:rFonts w:ascii="source serif 4" w:eastAsia="source serif 4" w:hAnsi="source serif 4" w:cs="source serif 4"/>
          <w:color w:val="000000"/>
          <w:sz w:val="18"/>
        </w:rPr>
        <w:t xml:space="preserve">Agora2024-Haushaltsnahe-Flexibilitaten-nutzen-6.pdf </w:t>
      </w:r>
    </w:p>
    <w:sectPr w:rsidR="00796E0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5A1"/>
    <w:multiLevelType w:val="hybridMultilevel"/>
    <w:tmpl w:val="FDDEF146"/>
    <w:lvl w:ilvl="0" w:tplc="C5E6C1AA">
      <w:start w:val="1"/>
      <w:numFmt w:val="bullet"/>
      <w:lvlText w:val=""/>
      <w:lvlJc w:val="left"/>
      <w:pPr>
        <w:tabs>
          <w:tab w:val="num" w:pos="900"/>
        </w:tabs>
        <w:ind w:left="540" w:hanging="360"/>
      </w:pPr>
      <w:rPr>
        <w:rFonts w:ascii="Symbol" w:hAnsi="Symbol" w:hint="default"/>
      </w:rPr>
    </w:lvl>
    <w:lvl w:ilvl="1" w:tplc="28EA0E84">
      <w:numFmt w:val="decimal"/>
      <w:lvlText w:val=""/>
      <w:lvlJc w:val="left"/>
    </w:lvl>
    <w:lvl w:ilvl="2" w:tplc="59C2F340">
      <w:numFmt w:val="decimal"/>
      <w:lvlText w:val=""/>
      <w:lvlJc w:val="left"/>
    </w:lvl>
    <w:lvl w:ilvl="3" w:tplc="72BC2A60">
      <w:numFmt w:val="decimal"/>
      <w:lvlText w:val=""/>
      <w:lvlJc w:val="left"/>
    </w:lvl>
    <w:lvl w:ilvl="4" w:tplc="F7BC8E08">
      <w:numFmt w:val="decimal"/>
      <w:lvlText w:val=""/>
      <w:lvlJc w:val="left"/>
    </w:lvl>
    <w:lvl w:ilvl="5" w:tplc="3D8EE2A4">
      <w:numFmt w:val="decimal"/>
      <w:lvlText w:val=""/>
      <w:lvlJc w:val="left"/>
    </w:lvl>
    <w:lvl w:ilvl="6" w:tplc="65C234EC">
      <w:numFmt w:val="decimal"/>
      <w:lvlText w:val=""/>
      <w:lvlJc w:val="left"/>
    </w:lvl>
    <w:lvl w:ilvl="7" w:tplc="C12E9BBA">
      <w:numFmt w:val="decimal"/>
      <w:lvlText w:val=""/>
      <w:lvlJc w:val="left"/>
    </w:lvl>
    <w:lvl w:ilvl="8" w:tplc="CBF04EEC">
      <w:numFmt w:val="decimal"/>
      <w:lvlText w:val=""/>
      <w:lvlJc w:val="left"/>
    </w:lvl>
  </w:abstractNum>
  <w:abstractNum w:abstractNumId="1" w15:restartNumberingAfterBreak="0">
    <w:nsid w:val="1B163E88"/>
    <w:multiLevelType w:val="hybridMultilevel"/>
    <w:tmpl w:val="53F66094"/>
    <w:lvl w:ilvl="0" w:tplc="915636BA">
      <w:start w:val="1"/>
      <w:numFmt w:val="bullet"/>
      <w:lvlText w:val=""/>
      <w:lvlJc w:val="left"/>
      <w:pPr>
        <w:tabs>
          <w:tab w:val="num" w:pos="900"/>
        </w:tabs>
        <w:ind w:left="540" w:hanging="360"/>
      </w:pPr>
      <w:rPr>
        <w:rFonts w:ascii="Symbol" w:hAnsi="Symbol" w:hint="default"/>
      </w:rPr>
    </w:lvl>
    <w:lvl w:ilvl="1" w:tplc="EC72858E">
      <w:start w:val="1"/>
      <w:numFmt w:val="bullet"/>
      <w:lvlText w:val="o"/>
      <w:lvlJc w:val="left"/>
      <w:pPr>
        <w:tabs>
          <w:tab w:val="num" w:pos="1440"/>
        </w:tabs>
        <w:ind w:left="1080" w:hanging="360"/>
      </w:pPr>
      <w:rPr>
        <w:rFonts w:ascii="Courier New" w:hAnsi="Courier New" w:cs="Courier New" w:hint="default"/>
      </w:rPr>
    </w:lvl>
    <w:lvl w:ilvl="2" w:tplc="35D6A0A6">
      <w:numFmt w:val="decimal"/>
      <w:lvlText w:val=""/>
      <w:lvlJc w:val="left"/>
    </w:lvl>
    <w:lvl w:ilvl="3" w:tplc="70CCB6DA">
      <w:numFmt w:val="decimal"/>
      <w:lvlText w:val=""/>
      <w:lvlJc w:val="left"/>
    </w:lvl>
    <w:lvl w:ilvl="4" w:tplc="41A23DA2">
      <w:numFmt w:val="decimal"/>
      <w:lvlText w:val=""/>
      <w:lvlJc w:val="left"/>
    </w:lvl>
    <w:lvl w:ilvl="5" w:tplc="E9C267B2">
      <w:numFmt w:val="decimal"/>
      <w:lvlText w:val=""/>
      <w:lvlJc w:val="left"/>
    </w:lvl>
    <w:lvl w:ilvl="6" w:tplc="AA0061FA">
      <w:numFmt w:val="decimal"/>
      <w:lvlText w:val=""/>
      <w:lvlJc w:val="left"/>
    </w:lvl>
    <w:lvl w:ilvl="7" w:tplc="40A43798">
      <w:numFmt w:val="decimal"/>
      <w:lvlText w:val=""/>
      <w:lvlJc w:val="left"/>
    </w:lvl>
    <w:lvl w:ilvl="8" w:tplc="344E1464">
      <w:numFmt w:val="decimal"/>
      <w:lvlText w:val=""/>
      <w:lvlJc w:val="left"/>
    </w:lvl>
  </w:abstractNum>
  <w:abstractNum w:abstractNumId="2" w15:restartNumberingAfterBreak="0">
    <w:nsid w:val="24981542"/>
    <w:multiLevelType w:val="multilevel"/>
    <w:tmpl w:val="753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4033F"/>
    <w:multiLevelType w:val="hybridMultilevel"/>
    <w:tmpl w:val="4BFC8F90"/>
    <w:lvl w:ilvl="0" w:tplc="04441E96">
      <w:start w:val="1"/>
      <w:numFmt w:val="bullet"/>
      <w:lvlText w:val=""/>
      <w:lvlJc w:val="left"/>
      <w:pPr>
        <w:tabs>
          <w:tab w:val="num" w:pos="900"/>
        </w:tabs>
        <w:ind w:left="540" w:hanging="360"/>
      </w:pPr>
      <w:rPr>
        <w:rFonts w:ascii="Symbol" w:hAnsi="Symbol" w:hint="default"/>
      </w:rPr>
    </w:lvl>
    <w:lvl w:ilvl="1" w:tplc="E14CCF4C">
      <w:numFmt w:val="decimal"/>
      <w:lvlText w:val=""/>
      <w:lvlJc w:val="left"/>
    </w:lvl>
    <w:lvl w:ilvl="2" w:tplc="41888106">
      <w:numFmt w:val="decimal"/>
      <w:lvlText w:val=""/>
      <w:lvlJc w:val="left"/>
    </w:lvl>
    <w:lvl w:ilvl="3" w:tplc="5F967010">
      <w:numFmt w:val="decimal"/>
      <w:lvlText w:val=""/>
      <w:lvlJc w:val="left"/>
    </w:lvl>
    <w:lvl w:ilvl="4" w:tplc="B302C0AC">
      <w:numFmt w:val="decimal"/>
      <w:lvlText w:val=""/>
      <w:lvlJc w:val="left"/>
    </w:lvl>
    <w:lvl w:ilvl="5" w:tplc="013CDA44">
      <w:numFmt w:val="decimal"/>
      <w:lvlText w:val=""/>
      <w:lvlJc w:val="left"/>
    </w:lvl>
    <w:lvl w:ilvl="6" w:tplc="F060118A">
      <w:numFmt w:val="decimal"/>
      <w:lvlText w:val=""/>
      <w:lvlJc w:val="left"/>
    </w:lvl>
    <w:lvl w:ilvl="7" w:tplc="3ED4D120">
      <w:numFmt w:val="decimal"/>
      <w:lvlText w:val=""/>
      <w:lvlJc w:val="left"/>
    </w:lvl>
    <w:lvl w:ilvl="8" w:tplc="341A39C8">
      <w:numFmt w:val="decimal"/>
      <w:lvlText w:val=""/>
      <w:lvlJc w:val="left"/>
    </w:lvl>
  </w:abstractNum>
  <w:abstractNum w:abstractNumId="4" w15:restartNumberingAfterBreak="0">
    <w:nsid w:val="36ED58C4"/>
    <w:multiLevelType w:val="multilevel"/>
    <w:tmpl w:val="44C8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147EA"/>
    <w:multiLevelType w:val="hybridMultilevel"/>
    <w:tmpl w:val="5C0A4C1A"/>
    <w:lvl w:ilvl="0" w:tplc="E04096CC">
      <w:start w:val="1"/>
      <w:numFmt w:val="decimal"/>
      <w:lvlText w:val="%1."/>
      <w:lvlJc w:val="left"/>
      <w:pPr>
        <w:tabs>
          <w:tab w:val="num" w:pos="900"/>
        </w:tabs>
        <w:ind w:left="540" w:hanging="360"/>
      </w:pPr>
    </w:lvl>
    <w:lvl w:ilvl="1" w:tplc="A0BE3438">
      <w:numFmt w:val="decimal"/>
      <w:lvlText w:val=""/>
      <w:lvlJc w:val="left"/>
    </w:lvl>
    <w:lvl w:ilvl="2" w:tplc="A52E5788">
      <w:numFmt w:val="decimal"/>
      <w:lvlText w:val=""/>
      <w:lvlJc w:val="left"/>
    </w:lvl>
    <w:lvl w:ilvl="3" w:tplc="8CA03B54">
      <w:numFmt w:val="decimal"/>
      <w:lvlText w:val=""/>
      <w:lvlJc w:val="left"/>
    </w:lvl>
    <w:lvl w:ilvl="4" w:tplc="711C9C4C">
      <w:numFmt w:val="decimal"/>
      <w:lvlText w:val=""/>
      <w:lvlJc w:val="left"/>
    </w:lvl>
    <w:lvl w:ilvl="5" w:tplc="99B6713C">
      <w:numFmt w:val="decimal"/>
      <w:lvlText w:val=""/>
      <w:lvlJc w:val="left"/>
    </w:lvl>
    <w:lvl w:ilvl="6" w:tplc="6B308438">
      <w:numFmt w:val="decimal"/>
      <w:lvlText w:val=""/>
      <w:lvlJc w:val="left"/>
    </w:lvl>
    <w:lvl w:ilvl="7" w:tplc="E7A2C7BA">
      <w:numFmt w:val="decimal"/>
      <w:lvlText w:val=""/>
      <w:lvlJc w:val="left"/>
    </w:lvl>
    <w:lvl w:ilvl="8" w:tplc="AD10C4F4">
      <w:numFmt w:val="decimal"/>
      <w:lvlText w:val=""/>
      <w:lvlJc w:val="left"/>
    </w:lvl>
  </w:abstractNum>
  <w:abstractNum w:abstractNumId="6" w15:restartNumberingAfterBreak="0">
    <w:nsid w:val="3EAD26CE"/>
    <w:multiLevelType w:val="hybridMultilevel"/>
    <w:tmpl w:val="CDB8A39C"/>
    <w:lvl w:ilvl="0" w:tplc="4A5AD94A">
      <w:start w:val="1"/>
      <w:numFmt w:val="decimal"/>
      <w:lvlText w:val="%1."/>
      <w:lvlJc w:val="left"/>
      <w:pPr>
        <w:tabs>
          <w:tab w:val="num" w:pos="900"/>
        </w:tabs>
        <w:ind w:left="540" w:hanging="360"/>
      </w:pPr>
    </w:lvl>
    <w:lvl w:ilvl="1" w:tplc="A65E0094">
      <w:numFmt w:val="decimal"/>
      <w:lvlText w:val=""/>
      <w:lvlJc w:val="left"/>
    </w:lvl>
    <w:lvl w:ilvl="2" w:tplc="8612D0B0">
      <w:numFmt w:val="decimal"/>
      <w:lvlText w:val=""/>
      <w:lvlJc w:val="left"/>
    </w:lvl>
    <w:lvl w:ilvl="3" w:tplc="9AFE69B2">
      <w:numFmt w:val="decimal"/>
      <w:lvlText w:val=""/>
      <w:lvlJc w:val="left"/>
    </w:lvl>
    <w:lvl w:ilvl="4" w:tplc="3FA62B10">
      <w:numFmt w:val="decimal"/>
      <w:lvlText w:val=""/>
      <w:lvlJc w:val="left"/>
    </w:lvl>
    <w:lvl w:ilvl="5" w:tplc="67208EA2">
      <w:numFmt w:val="decimal"/>
      <w:lvlText w:val=""/>
      <w:lvlJc w:val="left"/>
    </w:lvl>
    <w:lvl w:ilvl="6" w:tplc="780828DA">
      <w:numFmt w:val="decimal"/>
      <w:lvlText w:val=""/>
      <w:lvlJc w:val="left"/>
    </w:lvl>
    <w:lvl w:ilvl="7" w:tplc="8910B328">
      <w:numFmt w:val="decimal"/>
      <w:lvlText w:val=""/>
      <w:lvlJc w:val="left"/>
    </w:lvl>
    <w:lvl w:ilvl="8" w:tplc="9AD0C084">
      <w:numFmt w:val="decimal"/>
      <w:lvlText w:val=""/>
      <w:lvlJc w:val="left"/>
    </w:lvl>
  </w:abstractNum>
  <w:abstractNum w:abstractNumId="7" w15:restartNumberingAfterBreak="0">
    <w:nsid w:val="444C57F0"/>
    <w:multiLevelType w:val="multilevel"/>
    <w:tmpl w:val="C1B0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61ACF"/>
    <w:multiLevelType w:val="hybridMultilevel"/>
    <w:tmpl w:val="3ECA4DB0"/>
    <w:lvl w:ilvl="0" w:tplc="B92EA0DC">
      <w:start w:val="1"/>
      <w:numFmt w:val="decimal"/>
      <w:lvlText w:val="%1."/>
      <w:lvlJc w:val="left"/>
      <w:pPr>
        <w:tabs>
          <w:tab w:val="num" w:pos="900"/>
        </w:tabs>
        <w:ind w:left="540" w:hanging="360"/>
      </w:pPr>
    </w:lvl>
    <w:lvl w:ilvl="1" w:tplc="A5EE0430">
      <w:numFmt w:val="decimal"/>
      <w:lvlText w:val=""/>
      <w:lvlJc w:val="left"/>
    </w:lvl>
    <w:lvl w:ilvl="2" w:tplc="1138D736">
      <w:numFmt w:val="decimal"/>
      <w:lvlText w:val=""/>
      <w:lvlJc w:val="left"/>
    </w:lvl>
    <w:lvl w:ilvl="3" w:tplc="F44817AE">
      <w:numFmt w:val="decimal"/>
      <w:lvlText w:val=""/>
      <w:lvlJc w:val="left"/>
    </w:lvl>
    <w:lvl w:ilvl="4" w:tplc="DC100E7C">
      <w:numFmt w:val="decimal"/>
      <w:lvlText w:val=""/>
      <w:lvlJc w:val="left"/>
    </w:lvl>
    <w:lvl w:ilvl="5" w:tplc="11B6D93E">
      <w:numFmt w:val="decimal"/>
      <w:lvlText w:val=""/>
      <w:lvlJc w:val="left"/>
    </w:lvl>
    <w:lvl w:ilvl="6" w:tplc="B52E207A">
      <w:numFmt w:val="decimal"/>
      <w:lvlText w:val=""/>
      <w:lvlJc w:val="left"/>
    </w:lvl>
    <w:lvl w:ilvl="7" w:tplc="51CEA33C">
      <w:numFmt w:val="decimal"/>
      <w:lvlText w:val=""/>
      <w:lvlJc w:val="left"/>
    </w:lvl>
    <w:lvl w:ilvl="8" w:tplc="D3CE33AE">
      <w:numFmt w:val="decimal"/>
      <w:lvlText w:val=""/>
      <w:lvlJc w:val="left"/>
    </w:lvl>
  </w:abstractNum>
  <w:abstractNum w:abstractNumId="9" w15:restartNumberingAfterBreak="0">
    <w:nsid w:val="4BF37D66"/>
    <w:multiLevelType w:val="hybridMultilevel"/>
    <w:tmpl w:val="25965FCE"/>
    <w:lvl w:ilvl="0" w:tplc="CE308D74">
      <w:start w:val="1"/>
      <w:numFmt w:val="bullet"/>
      <w:lvlText w:val=""/>
      <w:lvlJc w:val="left"/>
      <w:pPr>
        <w:tabs>
          <w:tab w:val="num" w:pos="900"/>
        </w:tabs>
        <w:ind w:left="540" w:hanging="360"/>
      </w:pPr>
      <w:rPr>
        <w:rFonts w:ascii="Symbol" w:hAnsi="Symbol" w:hint="default"/>
      </w:rPr>
    </w:lvl>
    <w:lvl w:ilvl="1" w:tplc="14A6785A">
      <w:start w:val="1"/>
      <w:numFmt w:val="lowerLetter"/>
      <w:lvlText w:val="%2."/>
      <w:lvlJc w:val="left"/>
      <w:pPr>
        <w:tabs>
          <w:tab w:val="num" w:pos="1440"/>
        </w:tabs>
        <w:ind w:left="1080" w:hanging="360"/>
      </w:pPr>
    </w:lvl>
    <w:lvl w:ilvl="2" w:tplc="A50E93FC">
      <w:numFmt w:val="decimal"/>
      <w:lvlText w:val=""/>
      <w:lvlJc w:val="left"/>
    </w:lvl>
    <w:lvl w:ilvl="3" w:tplc="BB149B7C">
      <w:numFmt w:val="decimal"/>
      <w:lvlText w:val=""/>
      <w:lvlJc w:val="left"/>
    </w:lvl>
    <w:lvl w:ilvl="4" w:tplc="73529BC0">
      <w:numFmt w:val="decimal"/>
      <w:lvlText w:val=""/>
      <w:lvlJc w:val="left"/>
    </w:lvl>
    <w:lvl w:ilvl="5" w:tplc="C32889DA">
      <w:numFmt w:val="decimal"/>
      <w:lvlText w:val=""/>
      <w:lvlJc w:val="left"/>
    </w:lvl>
    <w:lvl w:ilvl="6" w:tplc="09C4FC6E">
      <w:numFmt w:val="decimal"/>
      <w:lvlText w:val=""/>
      <w:lvlJc w:val="left"/>
    </w:lvl>
    <w:lvl w:ilvl="7" w:tplc="A574E0A6">
      <w:numFmt w:val="decimal"/>
      <w:lvlText w:val=""/>
      <w:lvlJc w:val="left"/>
    </w:lvl>
    <w:lvl w:ilvl="8" w:tplc="E5A6A186">
      <w:numFmt w:val="decimal"/>
      <w:lvlText w:val=""/>
      <w:lvlJc w:val="left"/>
    </w:lvl>
  </w:abstractNum>
  <w:abstractNum w:abstractNumId="10" w15:restartNumberingAfterBreak="0">
    <w:nsid w:val="521941DC"/>
    <w:multiLevelType w:val="hybridMultilevel"/>
    <w:tmpl w:val="BC3023CE"/>
    <w:lvl w:ilvl="0" w:tplc="FCB2DF04">
      <w:start w:val="1"/>
      <w:numFmt w:val="bullet"/>
      <w:lvlText w:val=""/>
      <w:lvlJc w:val="left"/>
      <w:pPr>
        <w:tabs>
          <w:tab w:val="num" w:pos="900"/>
        </w:tabs>
        <w:ind w:left="540" w:hanging="360"/>
      </w:pPr>
      <w:rPr>
        <w:rFonts w:ascii="Symbol" w:hAnsi="Symbol" w:hint="default"/>
      </w:rPr>
    </w:lvl>
    <w:lvl w:ilvl="1" w:tplc="34700DCA">
      <w:numFmt w:val="decimal"/>
      <w:lvlText w:val=""/>
      <w:lvlJc w:val="left"/>
    </w:lvl>
    <w:lvl w:ilvl="2" w:tplc="53348B3A">
      <w:numFmt w:val="decimal"/>
      <w:lvlText w:val=""/>
      <w:lvlJc w:val="left"/>
    </w:lvl>
    <w:lvl w:ilvl="3" w:tplc="976A399E">
      <w:numFmt w:val="decimal"/>
      <w:lvlText w:val=""/>
      <w:lvlJc w:val="left"/>
    </w:lvl>
    <w:lvl w:ilvl="4" w:tplc="CF4E8B6E">
      <w:numFmt w:val="decimal"/>
      <w:lvlText w:val=""/>
      <w:lvlJc w:val="left"/>
    </w:lvl>
    <w:lvl w:ilvl="5" w:tplc="5C82749E">
      <w:numFmt w:val="decimal"/>
      <w:lvlText w:val=""/>
      <w:lvlJc w:val="left"/>
    </w:lvl>
    <w:lvl w:ilvl="6" w:tplc="2EF49DB2">
      <w:numFmt w:val="decimal"/>
      <w:lvlText w:val=""/>
      <w:lvlJc w:val="left"/>
    </w:lvl>
    <w:lvl w:ilvl="7" w:tplc="5C8CDC70">
      <w:numFmt w:val="decimal"/>
      <w:lvlText w:val=""/>
      <w:lvlJc w:val="left"/>
    </w:lvl>
    <w:lvl w:ilvl="8" w:tplc="51B4B640">
      <w:numFmt w:val="decimal"/>
      <w:lvlText w:val=""/>
      <w:lvlJc w:val="left"/>
    </w:lvl>
  </w:abstractNum>
  <w:abstractNum w:abstractNumId="11" w15:restartNumberingAfterBreak="0">
    <w:nsid w:val="5A0714A5"/>
    <w:multiLevelType w:val="multilevel"/>
    <w:tmpl w:val="84C2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52BAA"/>
    <w:multiLevelType w:val="hybridMultilevel"/>
    <w:tmpl w:val="BD24A424"/>
    <w:lvl w:ilvl="0" w:tplc="AA90E774">
      <w:start w:val="1"/>
      <w:numFmt w:val="bullet"/>
      <w:lvlText w:val=""/>
      <w:lvlJc w:val="left"/>
      <w:pPr>
        <w:tabs>
          <w:tab w:val="num" w:pos="900"/>
        </w:tabs>
        <w:ind w:left="540" w:hanging="360"/>
      </w:pPr>
      <w:rPr>
        <w:rFonts w:ascii="Symbol" w:hAnsi="Symbol" w:hint="default"/>
      </w:rPr>
    </w:lvl>
    <w:lvl w:ilvl="1" w:tplc="E6A4E5DA">
      <w:numFmt w:val="decimal"/>
      <w:lvlText w:val=""/>
      <w:lvlJc w:val="left"/>
    </w:lvl>
    <w:lvl w:ilvl="2" w:tplc="94D8A654">
      <w:numFmt w:val="decimal"/>
      <w:lvlText w:val=""/>
      <w:lvlJc w:val="left"/>
    </w:lvl>
    <w:lvl w:ilvl="3" w:tplc="65F617D2">
      <w:numFmt w:val="decimal"/>
      <w:lvlText w:val=""/>
      <w:lvlJc w:val="left"/>
    </w:lvl>
    <w:lvl w:ilvl="4" w:tplc="4BAA4D0E">
      <w:numFmt w:val="decimal"/>
      <w:lvlText w:val=""/>
      <w:lvlJc w:val="left"/>
    </w:lvl>
    <w:lvl w:ilvl="5" w:tplc="A81E39FE">
      <w:numFmt w:val="decimal"/>
      <w:lvlText w:val=""/>
      <w:lvlJc w:val="left"/>
    </w:lvl>
    <w:lvl w:ilvl="6" w:tplc="1C543F62">
      <w:numFmt w:val="decimal"/>
      <w:lvlText w:val=""/>
      <w:lvlJc w:val="left"/>
    </w:lvl>
    <w:lvl w:ilvl="7" w:tplc="FA622562">
      <w:numFmt w:val="decimal"/>
      <w:lvlText w:val=""/>
      <w:lvlJc w:val="left"/>
    </w:lvl>
    <w:lvl w:ilvl="8" w:tplc="63761B7A">
      <w:numFmt w:val="decimal"/>
      <w:lvlText w:val=""/>
      <w:lvlJc w:val="left"/>
    </w:lvl>
  </w:abstractNum>
  <w:abstractNum w:abstractNumId="13" w15:restartNumberingAfterBreak="0">
    <w:nsid w:val="5EFE742F"/>
    <w:multiLevelType w:val="hybridMultilevel"/>
    <w:tmpl w:val="F0BE5232"/>
    <w:lvl w:ilvl="0" w:tplc="98661DF8">
      <w:numFmt w:val="decimal"/>
      <w:lvlText w:val=""/>
      <w:lvlJc w:val="left"/>
    </w:lvl>
    <w:lvl w:ilvl="1" w:tplc="2A125ED0">
      <w:numFmt w:val="decimal"/>
      <w:lvlText w:val=""/>
      <w:lvlJc w:val="left"/>
    </w:lvl>
    <w:lvl w:ilvl="2" w:tplc="AFDE51C6">
      <w:numFmt w:val="decimal"/>
      <w:lvlText w:val=""/>
      <w:lvlJc w:val="left"/>
    </w:lvl>
    <w:lvl w:ilvl="3" w:tplc="7DE09F28">
      <w:numFmt w:val="decimal"/>
      <w:lvlText w:val=""/>
      <w:lvlJc w:val="left"/>
    </w:lvl>
    <w:lvl w:ilvl="4" w:tplc="5BC05C2A">
      <w:numFmt w:val="decimal"/>
      <w:lvlText w:val=""/>
      <w:lvlJc w:val="left"/>
    </w:lvl>
    <w:lvl w:ilvl="5" w:tplc="45DC9276">
      <w:numFmt w:val="decimal"/>
      <w:lvlText w:val=""/>
      <w:lvlJc w:val="left"/>
    </w:lvl>
    <w:lvl w:ilvl="6" w:tplc="5B3456CE">
      <w:numFmt w:val="decimal"/>
      <w:lvlText w:val=""/>
      <w:lvlJc w:val="left"/>
    </w:lvl>
    <w:lvl w:ilvl="7" w:tplc="7F7C52F6">
      <w:numFmt w:val="decimal"/>
      <w:lvlText w:val=""/>
      <w:lvlJc w:val="left"/>
    </w:lvl>
    <w:lvl w:ilvl="8" w:tplc="27DC84D0">
      <w:numFmt w:val="decimal"/>
      <w:lvlText w:val=""/>
      <w:lvlJc w:val="left"/>
    </w:lvl>
  </w:abstractNum>
  <w:abstractNum w:abstractNumId="14" w15:restartNumberingAfterBreak="0">
    <w:nsid w:val="627317D7"/>
    <w:multiLevelType w:val="hybridMultilevel"/>
    <w:tmpl w:val="6D049656"/>
    <w:lvl w:ilvl="0" w:tplc="03203D9A">
      <w:start w:val="1"/>
      <w:numFmt w:val="bullet"/>
      <w:lvlText w:val=""/>
      <w:lvlJc w:val="left"/>
      <w:pPr>
        <w:tabs>
          <w:tab w:val="num" w:pos="900"/>
        </w:tabs>
        <w:ind w:left="540" w:hanging="360"/>
      </w:pPr>
      <w:rPr>
        <w:rFonts w:ascii="Symbol" w:hAnsi="Symbol" w:hint="default"/>
      </w:rPr>
    </w:lvl>
    <w:lvl w:ilvl="1" w:tplc="A8E4BBAE">
      <w:numFmt w:val="decimal"/>
      <w:lvlText w:val=""/>
      <w:lvlJc w:val="left"/>
    </w:lvl>
    <w:lvl w:ilvl="2" w:tplc="70D06132">
      <w:numFmt w:val="decimal"/>
      <w:lvlText w:val=""/>
      <w:lvlJc w:val="left"/>
    </w:lvl>
    <w:lvl w:ilvl="3" w:tplc="550ACF32">
      <w:numFmt w:val="decimal"/>
      <w:lvlText w:val=""/>
      <w:lvlJc w:val="left"/>
    </w:lvl>
    <w:lvl w:ilvl="4" w:tplc="49940642">
      <w:numFmt w:val="decimal"/>
      <w:lvlText w:val=""/>
      <w:lvlJc w:val="left"/>
    </w:lvl>
    <w:lvl w:ilvl="5" w:tplc="66E28036">
      <w:numFmt w:val="decimal"/>
      <w:lvlText w:val=""/>
      <w:lvlJc w:val="left"/>
    </w:lvl>
    <w:lvl w:ilvl="6" w:tplc="1C3EC274">
      <w:numFmt w:val="decimal"/>
      <w:lvlText w:val=""/>
      <w:lvlJc w:val="left"/>
    </w:lvl>
    <w:lvl w:ilvl="7" w:tplc="904427BA">
      <w:numFmt w:val="decimal"/>
      <w:lvlText w:val=""/>
      <w:lvlJc w:val="left"/>
    </w:lvl>
    <w:lvl w:ilvl="8" w:tplc="57163F68">
      <w:numFmt w:val="decimal"/>
      <w:lvlText w:val=""/>
      <w:lvlJc w:val="left"/>
    </w:lvl>
  </w:abstractNum>
  <w:abstractNum w:abstractNumId="15" w15:restartNumberingAfterBreak="0">
    <w:nsid w:val="6988658C"/>
    <w:multiLevelType w:val="hybridMultilevel"/>
    <w:tmpl w:val="F8243B18"/>
    <w:lvl w:ilvl="0" w:tplc="89643C50">
      <w:start w:val="1"/>
      <w:numFmt w:val="bullet"/>
      <w:lvlText w:val=""/>
      <w:lvlJc w:val="left"/>
      <w:pPr>
        <w:tabs>
          <w:tab w:val="num" w:pos="900"/>
        </w:tabs>
        <w:ind w:left="540" w:hanging="360"/>
      </w:pPr>
      <w:rPr>
        <w:rFonts w:ascii="Symbol" w:hAnsi="Symbol" w:hint="default"/>
      </w:rPr>
    </w:lvl>
    <w:lvl w:ilvl="1" w:tplc="2656FAF8">
      <w:numFmt w:val="decimal"/>
      <w:lvlText w:val=""/>
      <w:lvlJc w:val="left"/>
    </w:lvl>
    <w:lvl w:ilvl="2" w:tplc="BACE041C">
      <w:numFmt w:val="decimal"/>
      <w:lvlText w:val=""/>
      <w:lvlJc w:val="left"/>
    </w:lvl>
    <w:lvl w:ilvl="3" w:tplc="F0721042">
      <w:numFmt w:val="decimal"/>
      <w:lvlText w:val=""/>
      <w:lvlJc w:val="left"/>
    </w:lvl>
    <w:lvl w:ilvl="4" w:tplc="069CF1BA">
      <w:numFmt w:val="decimal"/>
      <w:lvlText w:val=""/>
      <w:lvlJc w:val="left"/>
    </w:lvl>
    <w:lvl w:ilvl="5" w:tplc="03D8DF56">
      <w:numFmt w:val="decimal"/>
      <w:lvlText w:val=""/>
      <w:lvlJc w:val="left"/>
    </w:lvl>
    <w:lvl w:ilvl="6" w:tplc="848EB0DE">
      <w:numFmt w:val="decimal"/>
      <w:lvlText w:val=""/>
      <w:lvlJc w:val="left"/>
    </w:lvl>
    <w:lvl w:ilvl="7" w:tplc="AC5A8FAE">
      <w:numFmt w:val="decimal"/>
      <w:lvlText w:val=""/>
      <w:lvlJc w:val="left"/>
    </w:lvl>
    <w:lvl w:ilvl="8" w:tplc="92AC34C8">
      <w:numFmt w:val="decimal"/>
      <w:lvlText w:val=""/>
      <w:lvlJc w:val="left"/>
    </w:lvl>
  </w:abstractNum>
  <w:abstractNum w:abstractNumId="16" w15:restartNumberingAfterBreak="0">
    <w:nsid w:val="6B4A4CE9"/>
    <w:multiLevelType w:val="hybridMultilevel"/>
    <w:tmpl w:val="B6CEB61E"/>
    <w:lvl w:ilvl="0" w:tplc="2240623E">
      <w:start w:val="1"/>
      <w:numFmt w:val="bullet"/>
      <w:lvlText w:val=""/>
      <w:lvlJc w:val="left"/>
      <w:pPr>
        <w:tabs>
          <w:tab w:val="num" w:pos="900"/>
        </w:tabs>
        <w:ind w:left="540" w:hanging="360"/>
      </w:pPr>
      <w:rPr>
        <w:rFonts w:ascii="Symbol" w:hAnsi="Symbol" w:hint="default"/>
      </w:rPr>
    </w:lvl>
    <w:lvl w:ilvl="1" w:tplc="6A862410">
      <w:start w:val="1"/>
      <w:numFmt w:val="bullet"/>
      <w:lvlText w:val="o"/>
      <w:lvlJc w:val="left"/>
      <w:pPr>
        <w:tabs>
          <w:tab w:val="num" w:pos="1440"/>
        </w:tabs>
        <w:ind w:left="1080" w:hanging="360"/>
      </w:pPr>
      <w:rPr>
        <w:rFonts w:ascii="Courier New" w:hAnsi="Courier New" w:cs="Courier New" w:hint="default"/>
      </w:rPr>
    </w:lvl>
    <w:lvl w:ilvl="2" w:tplc="F496E44C">
      <w:numFmt w:val="decimal"/>
      <w:lvlText w:val=""/>
      <w:lvlJc w:val="left"/>
    </w:lvl>
    <w:lvl w:ilvl="3" w:tplc="EADA407E">
      <w:numFmt w:val="decimal"/>
      <w:lvlText w:val=""/>
      <w:lvlJc w:val="left"/>
    </w:lvl>
    <w:lvl w:ilvl="4" w:tplc="A6663C48">
      <w:numFmt w:val="decimal"/>
      <w:lvlText w:val=""/>
      <w:lvlJc w:val="left"/>
    </w:lvl>
    <w:lvl w:ilvl="5" w:tplc="FCE68CFC">
      <w:numFmt w:val="decimal"/>
      <w:lvlText w:val=""/>
      <w:lvlJc w:val="left"/>
    </w:lvl>
    <w:lvl w:ilvl="6" w:tplc="1DE06EEE">
      <w:numFmt w:val="decimal"/>
      <w:lvlText w:val=""/>
      <w:lvlJc w:val="left"/>
    </w:lvl>
    <w:lvl w:ilvl="7" w:tplc="2B08274E">
      <w:numFmt w:val="decimal"/>
      <w:lvlText w:val=""/>
      <w:lvlJc w:val="left"/>
    </w:lvl>
    <w:lvl w:ilvl="8" w:tplc="2096685C">
      <w:numFmt w:val="decimal"/>
      <w:lvlText w:val=""/>
      <w:lvlJc w:val="left"/>
    </w:lvl>
  </w:abstractNum>
  <w:abstractNum w:abstractNumId="17" w15:restartNumberingAfterBreak="0">
    <w:nsid w:val="6DF0644F"/>
    <w:multiLevelType w:val="hybridMultilevel"/>
    <w:tmpl w:val="F89E8AB6"/>
    <w:lvl w:ilvl="0" w:tplc="0ABE7D62">
      <w:start w:val="1"/>
      <w:numFmt w:val="bullet"/>
      <w:lvlText w:val=""/>
      <w:lvlJc w:val="left"/>
      <w:pPr>
        <w:tabs>
          <w:tab w:val="num" w:pos="900"/>
        </w:tabs>
        <w:ind w:left="540" w:hanging="360"/>
      </w:pPr>
      <w:rPr>
        <w:rFonts w:ascii="Symbol" w:hAnsi="Symbol" w:hint="default"/>
      </w:rPr>
    </w:lvl>
    <w:lvl w:ilvl="1" w:tplc="B3AE863A">
      <w:numFmt w:val="decimal"/>
      <w:lvlText w:val=""/>
      <w:lvlJc w:val="left"/>
    </w:lvl>
    <w:lvl w:ilvl="2" w:tplc="EE329502">
      <w:numFmt w:val="decimal"/>
      <w:lvlText w:val=""/>
      <w:lvlJc w:val="left"/>
    </w:lvl>
    <w:lvl w:ilvl="3" w:tplc="1684198C">
      <w:numFmt w:val="decimal"/>
      <w:lvlText w:val=""/>
      <w:lvlJc w:val="left"/>
    </w:lvl>
    <w:lvl w:ilvl="4" w:tplc="8642FAA2">
      <w:numFmt w:val="decimal"/>
      <w:lvlText w:val=""/>
      <w:lvlJc w:val="left"/>
    </w:lvl>
    <w:lvl w:ilvl="5" w:tplc="D7D0EF3A">
      <w:numFmt w:val="decimal"/>
      <w:lvlText w:val=""/>
      <w:lvlJc w:val="left"/>
    </w:lvl>
    <w:lvl w:ilvl="6" w:tplc="0ABACF1E">
      <w:numFmt w:val="decimal"/>
      <w:lvlText w:val=""/>
      <w:lvlJc w:val="left"/>
    </w:lvl>
    <w:lvl w:ilvl="7" w:tplc="4F68D152">
      <w:numFmt w:val="decimal"/>
      <w:lvlText w:val=""/>
      <w:lvlJc w:val="left"/>
    </w:lvl>
    <w:lvl w:ilvl="8" w:tplc="E858182C">
      <w:numFmt w:val="decimal"/>
      <w:lvlText w:val=""/>
      <w:lvlJc w:val="left"/>
    </w:lvl>
  </w:abstractNum>
  <w:num w:numId="1" w16cid:durableId="1099639289">
    <w:abstractNumId w:val="3"/>
  </w:num>
  <w:num w:numId="2" w16cid:durableId="1753235641">
    <w:abstractNumId w:val="10"/>
  </w:num>
  <w:num w:numId="3" w16cid:durableId="236482683">
    <w:abstractNumId w:val="5"/>
  </w:num>
  <w:num w:numId="4" w16cid:durableId="76557317">
    <w:abstractNumId w:val="9"/>
  </w:num>
  <w:num w:numId="5" w16cid:durableId="1509247309">
    <w:abstractNumId w:val="14"/>
  </w:num>
  <w:num w:numId="6" w16cid:durableId="277685362">
    <w:abstractNumId w:val="12"/>
  </w:num>
  <w:num w:numId="7" w16cid:durableId="368918114">
    <w:abstractNumId w:val="15"/>
  </w:num>
  <w:num w:numId="8" w16cid:durableId="1035425626">
    <w:abstractNumId w:val="1"/>
  </w:num>
  <w:num w:numId="9" w16cid:durableId="590969231">
    <w:abstractNumId w:val="16"/>
  </w:num>
  <w:num w:numId="10" w16cid:durableId="1719431638">
    <w:abstractNumId w:val="17"/>
  </w:num>
  <w:num w:numId="11" w16cid:durableId="2008054211">
    <w:abstractNumId w:val="0"/>
  </w:num>
  <w:num w:numId="12" w16cid:durableId="195436218">
    <w:abstractNumId w:val="6"/>
  </w:num>
  <w:num w:numId="13" w16cid:durableId="805854655">
    <w:abstractNumId w:val="13"/>
  </w:num>
  <w:num w:numId="14" w16cid:durableId="519779361">
    <w:abstractNumId w:val="8"/>
  </w:num>
  <w:num w:numId="15" w16cid:durableId="1974823223">
    <w:abstractNumId w:val="11"/>
  </w:num>
  <w:num w:numId="16" w16cid:durableId="1804346391">
    <w:abstractNumId w:val="2"/>
  </w:num>
  <w:num w:numId="17" w16cid:durableId="1712344430">
    <w:abstractNumId w:val="7"/>
  </w:num>
  <w:num w:numId="18" w16cid:durableId="1614628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E0E"/>
    <w:rsid w:val="003B595D"/>
    <w:rsid w:val="005825B9"/>
    <w:rsid w:val="00796E0E"/>
    <w:rsid w:val="00A8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E95FE9C"/>
  <w15:docId w15:val="{ECEC7B21-BBF4-43AE-AFCB-64ED0388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3B595D"/>
    <w:rPr>
      <w:color w:val="467886" w:themeColor="hyperlink"/>
      <w:u w:val="single"/>
    </w:rPr>
  </w:style>
  <w:style w:type="character" w:styleId="UnresolvedMention">
    <w:name w:val="Unresolved Mention"/>
    <w:basedOn w:val="DefaultParagraphFont"/>
    <w:uiPriority w:val="99"/>
    <w:semiHidden/>
    <w:unhideWhenUsed/>
    <w:rsid w:val="003B5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66089568/288f0de4-6a91-447f-b97c-b7196d273afe/Fraunhofer2025-Planung-von-Verteilnetzen-der-Zukunft-10.pdf?AWSAccessKeyId=ASIA2F3EMEYEZROY3ST4&amp;Signature=7YuZXtW%2FR04gW%2B%2Fq7dBpjrJSTZ4%3D&amp;x-amz-security-token=IQoJb3JpZ2luX2VjEOr%2F%2F%2F%2F%2F%2F%2F%2F%2F%2FwEaCXVzLWVhc3QtMSJHMEUCIQDwLs4phYAGpejYNsxPsomsrAZN%2Fvtv0KRVyKoUtp5BfwIgHUPOxHcSsq%2BnCSEnyu1sp6CKHyCZBmFt%2F7wW5EabnPgq%2FAQIs%2F%2F%2F%2F%2F%2F%2F%2F%2F%2F%2FARABGgw2OTk3NTMzMDk3MDUiDP8wFQqM2s2X31EPPirQBLynDVUZtkLWUBgDgI0ScD3acKgQAZqzHptfhXc9uq2VIQIz0uDhQPZmb1feb5Is8Df9p5Kpl3Cs0Yt3CyoGKWnRcBw4nZ18JmgmC2etP26M%2BCi0Ryim24030BDG3WvHPQNqT3J1qg9B%2BFQ50%2BW7Yph0T8Nsd9a941Fvk4IcSZwo3hR9pV5wPF5IDGb%2BTzvLBHC2J0o6wm3PoL3u4zgYQha7xEBcy5lpWrqcyK3XDQcYuboyYne5dznVo6IJGDn5AS72J8VPFAAXtO4%2FDgDzk0BKdDQ5TZy4EwXi1VzcUqG8Ps6ZoxRVhtAQ3vti2SmtekPDvBTrYlpNiuvBjdeswlvrFK0kFz63fYdsl7bpcKE8nekJgDMyds%2FLGxao21A4NpYlpyIeVyPoBYOpqiTeOH1vHADUATenBbVr1PX3cNciyFxICg7GIpo9I03dxIpJp1jRPTmPBBMla3Yv4atyxR9g42EBxQg2qhWXYpb5u6%2F%2Fmawa59HSBdhq7gHx5%2FmC6c7Q4BXJ15xUYsfV%2BacTTTh9lu6UMCiviDuw0w6kOYIfUZlMz0bWmPg%2B7Nm2yMdCM7meP4%2BCyVi2Ih15aSUx32rneyE9o%2B8r4F1Wq7P%2FzfzB0fZirkcb%2FWxgNenJJ7heSRDi3C0oTxMnvfRePIBcRmVONI6r5kegx6MpWu0LyAb86SS%2BYy5Y54bDdQuEPi%2F4o3%2BWnYOVytSRCwiIqgVp%2BpBj7PzICflMLuya%2F%2F4E1vhJ4CCSaKQ1HKjgDY4aWo1yRtsKxKzr38086Mp%2BMFS8%2FZsw7YXD0gY6mAGBZ08bCvvvo9bmp1PHAtu6l9SZFIRw2GyjWed0W994c8trBasGPfobztZAnk3FwEnS7Xizz4yx6DC1cxcuOk8cB0UGSvSQRHF3yeIQyq3wo%2FR5ma3FT%2BgThlrshXQzHabiT0WAC4W4AB6PUi3W1Jv02yuJWFurZu0icE%2Fb2r5wJqEUofZhSoULcQhJ3k%2BKUpi%2F14dHYLoIXw%3D%3D&amp;Expires=1783681216" TargetMode="External"/><Relationship Id="rId13" Type="http://schemas.openxmlformats.org/officeDocument/2006/relationships/hyperlink" Target="https://ppl-ai-file-upload.s3.amazonaws.com/web/direct-files/attachments/66089568/ccadb1fe-fc79-4016-96f2-791935834ed0/Wintzek2021-Planungs-und-Betriebsgrundsatze-fur-stadtische-Verteilnetze-4.pdf?AWSAccessKeyId=ASIA2F3EMEYEZROY3ST4&amp;Signature=c6cZqoLJt0BGQhAAw7aU9c%2BnBr0%3D&amp;x-amz-security-token=IQoJb3JpZ2luX2VjEOr%2F%2F%2F%2F%2F%2F%2F%2F%2F%2FwEaCXVzLWVhc3QtMSJHMEUCIQDwLs4phYAGpejYNsxPsomsrAZN%2Fvtv0KRVyKoUtp5BfwIgHUPOxHcSsq%2BnCSEnyu1sp6CKHyCZBmFt%2F7wW5EabnPgq%2FAQIs%2F%2F%2F%2F%2F%2F%2F%2F%2F%2F%2FARABGgw2OTk3NTMzMDk3MDUiDP8wFQqM2s2X31EPPirQBLynDVUZtkLWUBgDgI0ScD3acKgQAZqzHptfhXc9uq2VIQIz0uDhQPZmb1feb5Is8Df9p5Kpl3Cs0Yt3CyoGKWnRcBw4nZ18JmgmC2etP26M%2BCi0Ryim24030BDG3WvHPQNqT3J1qg9B%2BFQ50%2BW7Yph0T8Nsd9a941Fvk4IcSZwo3hR9pV5wPF5IDGb%2BTzvLBHC2J0o6wm3PoL3u4zgYQha7xEBcy5lpWrqcyK3XDQcYuboyYne5dznVo6IJGDn5AS72J8VPFAAXtO4%2FDgDzk0BKdDQ5TZy4EwXi1VzcUqG8Ps6ZoxRVhtAQ3vti2SmtekPDvBTrYlpNiuvBjdeswlvrFK0kFz63fYdsl7bpcKE8nekJgDMyds%2FLGxao21A4NpYlpyIeVyPoBYOpqiTeOH1vHADUATenBbVr1PX3cNciyFxICg7GIpo9I03dxIpJp1jRPTmPBBMla3Yv4atyxR9g42EBxQg2qhWXYpb5u6%2F%2Fmawa59HSBdhq7gHx5%2FmC6c7Q4BXJ15xUYsfV%2BacTTTh9lu6UMCiviDuw0w6kOYIfUZlMz0bWmPg%2B7Nm2yMdCM7meP4%2BCyVi2Ih15aSUx32rneyE9o%2B8r4F1Wq7P%2FzfzB0fZirkcb%2FWxgNenJJ7heSRDi3C0oTxMnvfRePIBcRmVONI6r5kegx6MpWu0LyAb86SS%2BYy5Y54bDdQuEPi%2F4o3%2BWnYOVytSRCwiIqgVp%2BpBj7PzICflMLuya%2F%2F4E1vhJ4CCSaKQ1HKjgDY4aWo1yRtsKxKzr38086Mp%2BMFS8%2FZsw7YXD0gY6mAGBZ08bCvvvo9bmp1PHAtu6l9SZFIRw2GyjWed0W994c8trBasGPfobztZAnk3FwEnS7Xizz4yx6DC1cxcuOk8cB0UGSvSQRHF3yeIQyq3wo%2FR5ma3FT%2BgThlrshXQzHabiT0WAC4W4AB6PUi3W1Jv02yuJWFurZu0icE%2Fb2r5wJqEUofZhSoULcQhJ3k%2BKUpi%2F14dHYLoIXw%3D%3D&amp;Expires=1783681216" TargetMode="External"/><Relationship Id="rId3" Type="http://schemas.openxmlformats.org/officeDocument/2006/relationships/settings" Target="settings.xml"/><Relationship Id="rId7" Type="http://schemas.openxmlformats.org/officeDocument/2006/relationships/hyperlink" Target="https://www.bundesnetzagentur.de/DE/Fachthemen/ElektrizitaetundGas/VerteilerNetz/start.html" TargetMode="External"/><Relationship Id="rId12" Type="http://schemas.openxmlformats.org/officeDocument/2006/relationships/hyperlink" Target="https://ppl-ai-file-upload.s3.amazonaws.com/web/direct-files/attachments/66089568/ae4435bc-cdc2-4d98-bf48-7649658e2a72/Verteilnetzstudie_BW-3.pdf?AWSAccessKeyId=ASIA2F3EMEYEZROY3ST4&amp;Signature=ZJ3FpclRF2dfZKQN1eJvbjRmwdg%3D&amp;x-amz-security-token=IQoJb3JpZ2luX2VjEOr%2F%2F%2F%2F%2F%2F%2F%2F%2F%2FwEaCXVzLWVhc3QtMSJHMEUCIQDwLs4phYAGpejYNsxPsomsrAZN%2Fvtv0KRVyKoUtp5BfwIgHUPOxHcSsq%2BnCSEnyu1sp6CKHyCZBmFt%2F7wW5EabnPgq%2FAQIs%2F%2F%2F%2F%2F%2F%2F%2F%2F%2F%2FARABGgw2OTk3NTMzMDk3MDUiDP8wFQqM2s2X31EPPirQBLynDVUZtkLWUBgDgI0ScD3acKgQAZqzHptfhXc9uq2VIQIz0uDhQPZmb1feb5Is8Df9p5Kpl3Cs0Yt3CyoGKWnRcBw4nZ18JmgmC2etP26M%2BCi0Ryim24030BDG3WvHPQNqT3J1qg9B%2BFQ50%2BW7Yph0T8Nsd9a941Fvk4IcSZwo3hR9pV5wPF5IDGb%2BTzvLBHC2J0o6wm3PoL3u4zgYQha7xEBcy5lpWrqcyK3XDQcYuboyYne5dznVo6IJGDn5AS72J8VPFAAXtO4%2FDgDzk0BKdDQ5TZy4EwXi1VzcUqG8Ps6ZoxRVhtAQ3vti2SmtekPDvBTrYlpNiuvBjdeswlvrFK0kFz63fYdsl7bpcKE8nekJgDMyds%2FLGxao21A4NpYlpyIeVyPoBYOpqiTeOH1vHADUATenBbVr1PX3cNciyFxICg7GIpo9I03dxIpJp1jRPTmPBBMla3Yv4atyxR9g42EBxQg2qhWXYpb5u6%2F%2Fmawa59HSBdhq7gHx5%2FmC6c7Q4BXJ15xUYsfV%2BacTTTh9lu6UMCiviDuw0w6kOYIfUZlMz0bWmPg%2B7Nm2yMdCM7meP4%2BCyVi2Ih15aSUx32rneyE9o%2B8r4F1Wq7P%2FzfzB0fZirkcb%2FWxgNenJJ7heSRDi3C0oTxMnvfRePIBcRmVONI6r5kegx6MpWu0LyAb86SS%2BYy5Y54bDdQuEPi%2F4o3%2BWnYOVytSRCwiIqgVp%2BpBj7PzICflMLuya%2F%2F4E1vhJ4CCSaKQ1HKjgDY4aWo1yRtsKxKzr38086Mp%2BMFS8%2FZsw7YXD0gY6mAGBZ08bCvvvo9bmp1PHAtu6l9SZFIRw2GyjWed0W994c8trBasGPfobztZAnk3FwEnS7Xizz4yx6DC1cxcuOk8cB0UGSvSQRHF3yeIQyq3wo%2FR5ma3FT%2BgThlrshXQzHabiT0WAC4W4AB6PUi3W1Jv02yuJWFurZu0icE%2Fb2r5wJqEUofZhSoULcQhJ3k%2BKUpi%2F14dHYLoIXw%3D%3D&amp;Expires=17836812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erplexity.ai/computer/skills?skillId=deep-research" TargetMode="External"/><Relationship Id="rId11" Type="http://schemas.openxmlformats.org/officeDocument/2006/relationships/hyperlink" Target="https://ppl-ai-file-upload.s3.amazonaws.com/web/direct-files/attachments/66089568/288f0de4-6a91-447f-b97c-b7196d273afe/Fraunhofer2025-Planung-von-Verteilnetzen-der-Zukunft-10.pdf?AWSAccessKeyId=ASIA2F3EMEYEZROY3ST4&amp;Signature=7YuZXtW%2FR04gW%2B%2Fq7dBpjrJSTZ4%3D&amp;x-amz-security-token=IQoJb3JpZ2luX2VjEOr%2F%2F%2F%2F%2F%2F%2F%2F%2F%2FwEaCXVzLWVhc3QtMSJHMEUCIQDwLs4phYAGpejYNsxPsomsrAZN%2Fvtv0KRVyKoUtp5BfwIgHUPOxHcSsq%2BnCSEnyu1sp6CKHyCZBmFt%2F7wW5EabnPgq%2FAQIs%2F%2F%2F%2F%2F%2F%2F%2F%2F%2F%2FARABGgw2OTk3NTMzMDk3MDUiDP8wFQqM2s2X31EPPirQBLynDVUZtkLWUBgDgI0ScD3acKgQAZqzHptfhXc9uq2VIQIz0uDhQPZmb1feb5Is8Df9p5Kpl3Cs0Yt3CyoGKWnRcBw4nZ18JmgmC2etP26M%2BCi0Ryim24030BDG3WvHPQNqT3J1qg9B%2BFQ50%2BW7Yph0T8Nsd9a941Fvk4IcSZwo3hR9pV5wPF5IDGb%2BTzvLBHC2J0o6wm3PoL3u4zgYQha7xEBcy5lpWrqcyK3XDQcYuboyYne5dznVo6IJGDn5AS72J8VPFAAXtO4%2FDgDzk0BKdDQ5TZy4EwXi1VzcUqG8Ps6ZoxRVhtAQ3vti2SmtekPDvBTrYlpNiuvBjdeswlvrFK0kFz63fYdsl7bpcKE8nekJgDMyds%2FLGxao21A4NpYlpyIeVyPoBYOpqiTeOH1vHADUATenBbVr1PX3cNciyFxICg7GIpo9I03dxIpJp1jRPTmPBBMla3Yv4atyxR9g42EBxQg2qhWXYpb5u6%2F%2Fmawa59HSBdhq7gHx5%2FmC6c7Q4BXJ15xUYsfV%2BacTTTh9lu6UMCiviDuw0w6kOYIfUZlMz0bWmPg%2B7Nm2yMdCM7meP4%2BCyVi2Ih15aSUx32rneyE9o%2B8r4F1Wq7P%2FzfzB0fZirkcb%2FWxgNenJJ7heSRDi3C0oTxMnvfRePIBcRmVONI6r5kegx6MpWu0LyAb86SS%2BYy5Y54bDdQuEPi%2F4o3%2BWnYOVytSRCwiIqgVp%2BpBj7PzICflMLuya%2F%2F4E1vhJ4CCSaKQ1HKjgDY4aWo1yRtsKxKzr38086Mp%2BMFS8%2FZsw7YXD0gY6mAGBZ08bCvvvo9bmp1PHAtu6l9SZFIRw2GyjWed0W994c8trBasGPfobztZAnk3FwEnS7Xizz4yx6DC1cxcuOk8cB0UGSvSQRHF3yeIQyq3wo%2FR5ma3FT%2BgThlrshXQzHabiT0WAC4W4AB6PUi3W1Jv02yuJWFurZu0icE%2Fb2r5wJqEUofZhSoULcQhJ3k%2BKUpi%2F14dHYLoIXw%3D%3D&amp;Expires=1783681216"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ppl-ai-file-upload.s3.amazonaws.com/web/direct-files/attachments/66089568/ccadb1fe-fc79-4016-96f2-791935834ed0/Wintzek2021-Planungs-und-Betriebsgrundsatze-fur-stadtische-Verteilnetze-4.pdf?AWSAccessKeyId=ASIA2F3EMEYEZROY3ST4&amp;Signature=c6cZqoLJt0BGQhAAw7aU9c%2BnBr0%3D&amp;x-amz-security-token=IQoJb3JpZ2luX2VjEOr%2F%2F%2F%2F%2F%2F%2F%2F%2F%2FwEaCXVzLWVhc3QtMSJHMEUCIQDwLs4phYAGpejYNsxPsomsrAZN%2Fvtv0KRVyKoUtp5BfwIgHUPOxHcSsq%2BnCSEnyu1sp6CKHyCZBmFt%2F7wW5EabnPgq%2FAQIs%2F%2F%2F%2F%2F%2F%2F%2F%2F%2F%2FARABGgw2OTk3NTMzMDk3MDUiDP8wFQqM2s2X31EPPirQBLynDVUZtkLWUBgDgI0ScD3acKgQAZqzHptfhXc9uq2VIQIz0uDhQPZmb1feb5Is8Df9p5Kpl3Cs0Yt3CyoGKWnRcBw4nZ18JmgmC2etP26M%2BCi0Ryim24030BDG3WvHPQNqT3J1qg9B%2BFQ50%2BW7Yph0T8Nsd9a941Fvk4IcSZwo3hR9pV5wPF5IDGb%2BTzvLBHC2J0o6wm3PoL3u4zgYQha7xEBcy5lpWrqcyK3XDQcYuboyYne5dznVo6IJGDn5AS72J8VPFAAXtO4%2FDgDzk0BKdDQ5TZy4EwXi1VzcUqG8Ps6ZoxRVhtAQ3vti2SmtekPDvBTrYlpNiuvBjdeswlvrFK0kFz63fYdsl7bpcKE8nekJgDMyds%2FLGxao21A4NpYlpyIeVyPoBYOpqiTeOH1vHADUATenBbVr1PX3cNciyFxICg7GIpo9I03dxIpJp1jRPTmPBBMla3Yv4atyxR9g42EBxQg2qhWXYpb5u6%2F%2Fmawa59HSBdhq7gHx5%2FmC6c7Q4BXJ15xUYsfV%2BacTTTh9lu6UMCiviDuw0w6kOYIfUZlMz0bWmPg%2B7Nm2yMdCM7meP4%2BCyVi2Ih15aSUx32rneyE9o%2B8r4F1Wq7P%2FzfzB0fZirkcb%2FWxgNenJJ7heSRDi3C0oTxMnvfRePIBcRmVONI6r5kegx6MpWu0LyAb86SS%2BYy5Y54bDdQuEPi%2F4o3%2BWnYOVytSRCwiIqgVp%2BpBj7PzICflMLuya%2F%2F4E1vhJ4CCSaKQ1HKjgDY4aWo1yRtsKxKzr38086Mp%2BMFS8%2FZsw7YXD0gY6mAGBZ08bCvvvo9bmp1PHAtu6l9SZFIRw2GyjWed0W994c8trBasGPfobztZAnk3FwEnS7Xizz4yx6DC1cxcuOk8cB0UGSvSQRHF3yeIQyq3wo%2FR5ma3FT%2BgThlrshXQzHabiT0WAC4W4AB6PUi3W1Jv02yuJWFurZu0icE%2Fb2r5wJqEUofZhSoULcQhJ3k%2BKUpi%2F14dHYLoIXw%3D%3D&amp;Expires=1783681216" TargetMode="External"/><Relationship Id="rId4" Type="http://schemas.openxmlformats.org/officeDocument/2006/relationships/webSettings" Target="webSettings.xml"/><Relationship Id="rId9" Type="http://schemas.openxmlformats.org/officeDocument/2006/relationships/hyperlink" Target="https://www.enbw.com/unternehmen/themen/netze/stromnetze-so-kommt-der-strom-in-die-steckdose.html" TargetMode="External"/><Relationship Id="rId14" Type="http://schemas.openxmlformats.org/officeDocument/2006/relationships/hyperlink" Target="https://ppl-ai-file-upload.s3.amazonaws.com/web/direct-files/attachments/66089568/288f0de4-6a91-447f-b97c-b7196d273afe/Fraunhofer2025-Planung-von-Verteilnetzen-der-Zukunft-10.pdf?AWSAccessKeyId=ASIA2F3EMEYEZROY3ST4&amp;Signature=7YuZXtW%2FR04gW%2B%2Fq7dBpjrJSTZ4%3D&amp;x-amz-security-token=IQoJb3JpZ2luX2VjEOr%2F%2F%2F%2F%2F%2F%2F%2F%2F%2FwEaCXVzLWVhc3QtMSJHMEUCIQDwLs4phYAGpejYNsxPsomsrAZN%2Fvtv0KRVyKoUtp5BfwIgHUPOxHcSsq%2BnCSEnyu1sp6CKHyCZBmFt%2F7wW5EabnPgq%2FAQIs%2F%2F%2F%2F%2F%2F%2F%2F%2F%2F%2FARABGgw2OTk3NTMzMDk3MDUiDP8wFQqM2s2X31EPPirQBLynDVUZtkLWUBgDgI0ScD3acKgQAZqzHptfhXc9uq2VIQIz0uDhQPZmb1feb5Is8Df9p5Kpl3Cs0Yt3CyoGKWnRcBw4nZ18JmgmC2etP26M%2BCi0Ryim24030BDG3WvHPQNqT3J1qg9B%2BFQ50%2BW7Yph0T8Nsd9a941Fvk4IcSZwo3hR9pV5wPF5IDGb%2BTzvLBHC2J0o6wm3PoL3u4zgYQha7xEBcy5lpWrqcyK3XDQcYuboyYne5dznVo6IJGDn5AS72J8VPFAAXtO4%2FDgDzk0BKdDQ5TZy4EwXi1VzcUqG8Ps6ZoxRVhtAQ3vti2SmtekPDvBTrYlpNiuvBjdeswlvrFK0kFz63fYdsl7bpcKE8nekJgDMyds%2FLGxao21A4NpYlpyIeVyPoBYOpqiTeOH1vHADUATenBbVr1PX3cNciyFxICg7GIpo9I03dxIpJp1jRPTmPBBMla3Yv4atyxR9g42EBxQg2qhWXYpb5u6%2F%2Fmawa59HSBdhq7gHx5%2FmC6c7Q4BXJ15xUYsfV%2BacTTTh9lu6UMCiviDuw0w6kOYIfUZlMz0bWmPg%2B7Nm2yMdCM7meP4%2BCyVi2Ih15aSUx32rneyE9o%2B8r4F1Wq7P%2FzfzB0fZirkcb%2FWxgNenJJ7heSRDi3C0oTxMnvfRePIBcRmVONI6r5kegx6MpWu0LyAb86SS%2BYy5Y54bDdQuEPi%2F4o3%2BWnYOVytSRCwiIqgVp%2BpBj7PzICflMLuya%2F%2F4E1vhJ4CCSaKQ1HKjgDY4aWo1yRtsKxKzr38086Mp%2BMFS8%2FZsw7YXD0gY6mAGBZ08bCvvvo9bmp1PHAtu6l9SZFIRw2GyjWed0W994c8trBasGPfobztZAnk3FwEnS7Xizz4yx6DC1cxcuOk8cB0UGSvSQRHF3yeIQyq3wo%2FR5ma3FT%2BgThlrshXQzHabiT0WAC4W4AB6PUi3W1Jv02yuJWFurZu0icE%2Fb2r5wJqEUofZhSoULcQhJ3k%2BKUpi%2F14dHYLoIXw%3D%3D&amp;Expires=1783681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5499</Words>
  <Characters>31346</Characters>
  <Application>Microsoft Office Word</Application>
  <DocSecurity>0</DocSecurity>
  <Lines>261</Lines>
  <Paragraphs>73</Paragraphs>
  <ScaleCrop>false</ScaleCrop>
  <Company>TUM</Company>
  <LinksUpToDate>false</LinksUpToDate>
  <CharactersWithSpaces>36772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Beneharo Reveron Baecker</cp:lastModifiedBy>
  <cp:revision>3</cp:revision>
  <dcterms:created xsi:type="dcterms:W3CDTF">2026-07-10T09:52:00Z</dcterms:created>
  <dcterms:modified xsi:type="dcterms:W3CDTF">2026-07-10T10:19:00Z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c8e8c784-a1c1-4d5a-95eb-2c379ea9e9e8</vt:lpwstr>
  </property>
</Properties>
</file>