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1680"/>
      </w:tblGrid>
      <w:tr>
        <w:trPr>
          <w:trHeight w:val="16612" w:hRule="atLeast"/>
        </w:trPr>
        <w:tc>
          <w:tcPr>
            <w:tcW w:type="dxa" w:w="11680"/>
            <w:shd w:fill="1B2A4A" w:val="clear"/>
            <w:tcMar>
              <w:top w:w="850" w:type="dxa"/>
              <w:left w:w="1134" w:type="dxa"/>
              <w:bottom w:w="567" w:type="dxa"/>
              <w:right w:w="1134" w:type="dxa"/>
            </w:tcMar>
          </w:tcPr>
          <w:p>
            <w:pPr>
              <w:spacing w:before="0" w:after="72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49383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m-logo-v2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383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0" w:after="0"/>
              <w:jc w:val="left"/>
            </w:pPr>
            <w:r>
              <w:rPr>
                <w:rFonts w:ascii="Calibri" w:hAnsi="Calibri"/>
                <w:b/>
                <w:color w:val="FFFFFF"/>
                <w:sz w:val="72"/>
              </w:rPr>
              <w:t>Self-submission Audit Wizard Specification</w:t>
            </w:r>
          </w:p>
          <w:p>
            <w:pPr>
              <w:spacing w:before="360" w:after="120"/>
              <w:jc w:val="left"/>
            </w:pPr>
            <w:r>
              <w:rPr>
                <w:rFonts w:ascii="Calibri" w:hAnsi="Calibri"/>
                <w:color w:val="B0C4DE"/>
                <w:sz w:val="32"/>
              </w:rPr>
              <w:t>Invincibility Blueprint Toolkit</w:t>
            </w:r>
          </w:p>
          <w:p>
            <w:pPr>
              <w:spacing w:before="240" w:after="120"/>
              <w:jc w:val="left"/>
            </w:pPr>
            <w:r>
              <w:rPr>
                <w:rFonts w:ascii="Calibri" w:hAnsi="Calibri"/>
                <w:color w:val="B0C4DE"/>
                <w:sz w:val="22"/>
              </w:rPr>
              <w:t>High-level design overview for the Self-submission Audit Wizard — covering wizard architecture, question types, conditional routing, data model, authentication, participant journey, admin dashboard, and Nano Fibre UK configuration.</w:t>
            </w:r>
          </w:p>
          <w:p>
            <w:pPr>
              <w:spacing w:before="1200" w:after="240"/>
              <w:pBdr>
                <w:bottom w:val="single" w:sz="4" w:space="1" w:color="4DA6FF"/>
              </w:pBdr>
            </w:pPr>
          </w:p>
          <w:p>
            <w:pPr>
              <w:spacing w:before="120"/>
              <w:jc w:val="left"/>
            </w:pPr>
            <w:r>
              <w:rPr>
                <w:rFonts w:ascii="Calibri" w:hAnsi="Calibri"/>
                <w:color w:val="8899AA"/>
                <w:sz w:val="18"/>
              </w:rPr>
              <w:t>Limitless Programme | March 2026 | Confidential | v1.0</w:t>
            </w:r>
          </w:p>
        </w:tc>
      </w:tr>
    </w:tbl>
    <w:p>
      <w:r>
        <w:br w:type="page"/>
      </w:r>
    </w:p>
    <w:p>
      <w:pPr>
        <w:sectPr>
          <w:headerReference w:type="default" r:id="rId12"/>
          <w:footerReference w:type="default" r:id="rId13"/>
          <w:pgSz w:w="11906" w:h="16838"/>
          <w:pgMar w:top="113" w:right="113" w:bottom="113" w:left="113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8" w:space="1" w:color="4DA6FF"/>
        </w:pBdr>
      </w:pPr>
      <w:r>
        <w:rPr>
          <w:sz w:val="40"/>
        </w:rPr>
        <w:t>Self-submission Audit Wizard Specification</w:t>
      </w:r>
    </w:p>
    <w:p>
      <w:pPr>
        <w:pStyle w:val="Heading2"/>
      </w:pPr>
      <w:r>
        <w:rPr>
          <w:sz w:val="32"/>
        </w:rPr>
        <w:t>Context</w:t>
      </w:r>
    </w:p>
    <w:p>
      <w:r>
        <w:rPr>
          <w:sz w:val="20"/>
        </w:rPr>
        <w:t>The Invincibility Blueprint toolkit has 3 self-submission audit instruments that need to become interactive web wizards in the Limitless Portal. The instruments are defined in the toolkit: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01 Company Audit</w:t>
      </w:r>
      <w:r>
        <w:rPr>
          <w:sz w:val="20"/>
        </w:rPr>
        <w:t xml:space="preserve"> (Director) — 11 sections (A–K), 60–90 min, no conditional logic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02 Manager Audit</w:t>
      </w:r>
      <w:r>
        <w:rPr>
          <w:sz w:val="20"/>
        </w:rPr>
        <w:t xml:space="preserve"> (Managers) — 13 sections, 30–45 min, Section 5 branches by department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03 Engineer Mini-Audit</w:t>
      </w:r>
      <w:r>
        <w:rPr>
          <w:sz w:val="20"/>
        </w:rPr>
        <w:t xml:space="preserve"> (Engineers) — 10 sections, 10–12 min, Section 5 branches by job type</w:t>
      </w:r>
    </w:p>
    <w:p>
      <w:r>
        <w:rPr>
          <w:sz w:val="20"/>
        </w:rPr>
        <w:t xml:space="preserve">First client: </w:t>
      </w:r>
      <w:r>
        <w:rPr>
          <w:b/>
        </w:rPr>
        <w:t>Nano Fibre UK</w:t>
      </w:r>
      <w:r>
        <w:rPr>
          <w:sz w:val="20"/>
        </w:rPr>
        <w:t xml:space="preserve"> — 27 participants, audit go-live March 10. Participant mapping in participant-instrument-mapping.md.</w:t>
      </w:r>
    </w:p>
    <w:p>
      <w:pPr>
        <w:pStyle w:val="Heading2"/>
      </w:pPr>
      <w:r>
        <w:rPr>
          <w:sz w:val="32"/>
        </w:rPr>
        <w:t>What the Spec Will Cover</w:t>
      </w:r>
    </w:p>
    <w:p>
      <w:r>
        <w:rPr>
          <w:sz w:val="20"/>
        </w:rPr>
        <w:t xml:space="preserve">The specification document will be placed at </w:t>
      </w:r>
      <w:r>
        <w:rPr>
          <w:rFonts w:ascii="Courier New" w:hAnsi="Courier New"/>
          <w:sz w:val="18"/>
          <w:shd w:fill="F4F4F4" w:val="clear"/>
        </w:rPr>
        <w:t>methodology/invincibility-blueprint/toolkit/wizard-specification.md</w:t>
      </w:r>
      <w:r>
        <w:rPr>
          <w:sz w:val="20"/>
        </w:rPr>
        <w:t xml:space="preserve"> (toolkit-level, not engagement-specific) and will define:</w:t>
      </w:r>
    </w:p>
    <w:p>
      <w:pPr>
        <w:pStyle w:val="Heading3"/>
      </w:pPr>
      <w:r>
        <w:rPr>
          <w:sz w:val="26"/>
        </w:rPr>
        <w:t>1. Wizard Step Architecture</w:t>
      </w:r>
    </w:p>
    <w:p>
      <w:r>
        <w:rPr>
          <w:sz w:val="20"/>
        </w:rPr>
        <w:t>Each instrument becomes a multi-step wizard with this structure: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102133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zard-step-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213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For each of the 3 instruments, the spec will define: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Exact step sequence (step number, section name, estimated time)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Which steps are mandatory vs optional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Conditional routing rules (Section 5 branching)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Per-step question inventory with question types</w:t>
      </w:r>
    </w:p>
    <w:p>
      <w:pPr>
        <w:pStyle w:val="Heading3"/>
      </w:pPr>
      <w:r>
        <w:rPr>
          <w:sz w:val="26"/>
        </w:rPr>
        <w:t>2. Question Type Taxonomy</w:t>
      </w:r>
    </w:p>
    <w:p>
      <w:r>
        <w:rPr>
          <w:sz w:val="20"/>
        </w:rPr>
        <w:t>Across all 3 instruments, every question maps to one of these input types: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Widget</w:t>
            </w:r>
          </w:p>
        </w:tc>
        <w:tc>
          <w:tcPr>
            <w:tcW w:type="dxa" w:w="3213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FreeText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Single-line or multi-line text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Most "describe" questions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MultiSelect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Checkbox groups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"Tick all that apply"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SingleSelect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Radio/dropdown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OD Stage self-assessment, role type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FileUpload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Evidence uploads with metadata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Format, what it proves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TableGrid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Structured row input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Non-productive time estimates, Regular Duties cadence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RatingScale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Rating selector (8-point scale)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Reality Test ratings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ResponseMode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"For every request, choose one" pattern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 / Link / Not available / Will send later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ConsentCheckbox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Required consent before proceeding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GDPR consent gate</w:t>
            </w:r>
          </w:p>
        </w:tc>
      </w:tr>
    </w:tbl>
    <w:p>
      <w:pPr>
        <w:spacing w:before="0" w:after="120"/>
      </w:pPr>
    </w:p>
    <w:p>
      <w:r>
        <w:rPr>
          <w:sz w:val="20"/>
        </w:rPr>
        <w:t>The spec will tag every question in every section with its type, required/optional status, and any validation rules.</w:t>
      </w:r>
    </w:p>
    <w:p>
      <w:pPr>
        <w:pStyle w:val="Heading3"/>
      </w:pPr>
      <w:r>
        <w:rPr>
          <w:sz w:val="26"/>
        </w:rPr>
        <w:t>3. Conditional Routing (Section 5)</w:t>
      </w:r>
    </w:p>
    <w:p>
      <w:r>
        <w:rPr>
          <w:b/>
        </w:rPr>
        <w:t>Manager Audit Section 5</w:t>
      </w:r>
      <w:r>
        <w:rPr>
          <w:sz w:val="20"/>
        </w:rPr>
        <w:t xml:space="preserve"> — branches based on department selected in Section 1: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40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al-rou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40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Engineer Mini-Audit Section 5</w:t>
      </w:r>
      <w:r>
        <w:rPr>
          <w:sz w:val="20"/>
        </w:rPr>
        <w:t xml:space="preserve"> — branches based on role type selected in Section 1 (multi-skilled can answer 2 modules).</w:t>
      </w:r>
    </w:p>
    <w:p>
      <w:r>
        <w:rPr>
          <w:sz w:val="20"/>
        </w:rPr>
        <w:t>The spec will define the exact routing rules, including how Installation Managers (who are in "Field Ops — Installations" but doing Manager Audit) get the right Section 5.</w:t>
      </w:r>
    </w:p>
    <w:p>
      <w:pPr>
        <w:pStyle w:val="Heading3"/>
      </w:pPr>
      <w:r>
        <w:rPr>
          <w:sz w:val="26"/>
        </w:rPr>
        <w:t>4. Data Model</w:t>
      </w:r>
    </w:p>
    <w:p>
      <w:r>
        <w:rPr>
          <w:sz w:val="20"/>
        </w:rPr>
        <w:t>The spec will define the submission data structure: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4819"/>
            <w:shd w:fill="1B2A4A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Engagement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Client, dates, status, instruments assigned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Participant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Name, email, role, department, assigned instruments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Submission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Participant + instrument + status (not started / in progress / submitted)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Section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Per-section draft data (JSON blob), completion status, last saved timestamp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Upload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File reference, section, question, metadata (what it proves)</w:t>
            </w:r>
          </w:p>
        </w:tc>
      </w:tr>
    </w:tbl>
    <w:p>
      <w:pPr>
        <w:spacing w:before="0" w:after="120"/>
      </w:pPr>
    </w:p>
    <w:p>
      <w:r>
        <w:rPr>
          <w:sz w:val="20"/>
        </w:rPr>
        <w:t>Key design decisions: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Auto-save per section (save on navigate away)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Draft vs submitted states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Section-level completion tracking (progress bar)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Submission locking after final submit (with option to unlock for amendments)</w:t>
      </w:r>
    </w:p>
    <w:p>
      <w:pPr>
        <w:pStyle w:val="Heading3"/>
      </w:pPr>
      <w:r>
        <w:rPr>
          <w:sz w:val="26"/>
        </w:rPr>
        <w:t>5. Authentication (Azure Entra ID SSO)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Participants authenticate via Microsoft Entra ID (Azure AD)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The spec will define: tenant configuration, redirect URIs, token handling, role mapping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 xml:space="preserve">Nano Fibre UK participants use </w:t>
      </w:r>
      <w:r>
        <w:rPr>
          <w:rFonts w:ascii="Courier New" w:hAnsi="Courier New"/>
          <w:sz w:val="18"/>
          <w:shd w:fill="F4F4F4" w:val="clear"/>
        </w:rPr>
        <w:t>@nanois.co.uk</w:t>
      </w:r>
      <w:r>
        <w:rPr>
          <w:sz w:val="20"/>
        </w:rPr>
        <w:t xml:space="preserve"> and </w:t>
      </w:r>
      <w:r>
        <w:rPr>
          <w:rFonts w:ascii="Courier New" w:hAnsi="Courier New"/>
          <w:sz w:val="18"/>
          <w:shd w:fill="F4F4F4" w:val="clear"/>
        </w:rPr>
        <w:t>@nanofibre.co.uk</w:t>
      </w:r>
      <w:r>
        <w:rPr>
          <w:sz w:val="20"/>
        </w:rPr>
        <w:t xml:space="preserve"> domains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Admin access (Greg, Fedor) via Tumai tenant</w:t>
      </w:r>
    </w:p>
    <w:p>
      <w:pPr>
        <w:pStyle w:val="Heading3"/>
      </w:pPr>
      <w:r>
        <w:rPr>
          <w:sz w:val="26"/>
        </w:rPr>
        <w:t>6. Participant Journey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55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cipant-journe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5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sz w:val="26"/>
        </w:rPr>
        <w:t>7. Admin Dashboard</w:t>
      </w:r>
    </w:p>
    <w:p>
      <w:r>
        <w:rPr>
          <w:sz w:val="20"/>
        </w:rPr>
        <w:t>The spec will define what Greg/Fedor see: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Engagement overview (Nano Fibre UK)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Participant submission tracker (27 rows, columns: name, instrument, status, % complete, last activity)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Individual submission viewer (read submitted answers, download uploads)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Export capability (all submissions to structured data for AI synthesis)</w:t>
      </w:r>
    </w:p>
    <w:p>
      <w:pPr>
        <w:pStyle w:val="Heading3"/>
      </w:pPr>
      <w:r>
        <w:rPr>
          <w:sz w:val="26"/>
        </w:rPr>
        <w:t>8. Nano Fibre UK Specifics</w:t>
      </w:r>
    </w:p>
    <w:p>
      <w:r>
        <w:rPr>
          <w:sz w:val="20"/>
        </w:rPr>
        <w:t>The spec will include an appendix mapping the 27 Nano Fibre participants to their wizard configuration: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Directors (Wilhelm + Dirk) — joint Company Audit, shared submission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21 Managers — each gets Manager Audit, Section 5 pre-routed based on department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4 Engineers — each gets Engineer Mini-Audit, anonymous option</w:t>
      </w:r>
    </w:p>
    <w:p>
      <w:pPr>
        <w:pStyle w:val="Heading2"/>
      </w:pPr>
      <w:r>
        <w:rPr>
          <w:sz w:val="32"/>
        </w:rPr>
        <w:t>Output</w:t>
      </w:r>
    </w:p>
    <w:p>
      <w:r>
        <w:rPr>
          <w:sz w:val="20"/>
        </w:rPr>
        <w:t xml:space="preserve">One comprehensive markdown file: </w:t>
      </w:r>
      <w:r>
        <w:rPr>
          <w:rFonts w:ascii="Courier New" w:hAnsi="Courier New"/>
          <w:sz w:val="18"/>
          <w:shd w:fill="F4F4F4" w:val="clear"/>
        </w:rPr>
        <w:t>methodology/invincibility-blueprint/toolkit/wizard-specification.md</w:t>
      </w:r>
    </w:p>
    <w:p>
      <w:r>
        <w:rPr>
          <w:sz w:val="20"/>
        </w:rPr>
        <w:t>Sections: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Overview and design principles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Step flow per instrument (with question type annotations)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Conditional routing rules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Data model (entities, relationships, JSON schemas)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Authentication and authorisation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Participant journey (invitation to submission)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Admin dashboard requirements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File upload and evidence management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Auto-save, progress tracking, and submission lifecycle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Nano Fibre UK engagement configuration (appendix)</w:t>
      </w:r>
    </w:p>
    <w:p>
      <w:pPr>
        <w:pStyle w:val="ListNumber"/>
      </w:pPr>
      <w:r>
        <w:rPr>
          <w:sz w:val="20"/>
        </w:rPr>
      </w:r>
      <w:r>
        <w:rPr>
          <w:sz w:val="20"/>
        </w:rPr>
        <w:t>API contract outline (endpoints for frontend-backend communication)</w:t>
      </w:r>
    </w:p>
    <w:p>
      <w:pPr>
        <w:pStyle w:val="Heading2"/>
      </w:pPr>
      <w:r>
        <w:rPr>
          <w:sz w:val="32"/>
        </w:rPr>
        <w:t>What This Does NOT Cover (deferred to implementation)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Nuxt/Go scaffolding (next phase after spec approval)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Visual design / Figma mockups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Deployment and infrastructure (covered in limitless-portal CLAUDE.md)</w:t>
      </w:r>
    </w:p>
    <w:p>
      <w:pPr>
        <w:pStyle w:val="ListBullet"/>
      </w:pPr>
      <w:r>
        <w:rPr>
          <w:sz w:val="20"/>
        </w:rPr>
      </w:r>
      <w:r>
        <w:rPr>
          <w:sz w:val="20"/>
        </w:rPr>
        <w:t>Interview instruments (04–06) — those are Greg-conducted, not self-submission</w:t>
      </w:r>
    </w:p>
    <w:p>
      <w:pPr>
        <w:pStyle w:val="Heading2"/>
      </w:pPr>
      <w:r>
        <w:rPr>
          <w:sz w:val="32"/>
        </w:rPr>
        <w:t>Status</w:t>
      </w:r>
    </w:p>
    <w:p>
      <w:r>
        <w:rPr>
          <w:sz w:val="20"/>
        </w:rPr>
        <w:t xml:space="preserve">All specification tasks completed. The full specification document has been produced at </w:t>
      </w:r>
      <w:r>
        <w:rPr>
          <w:rFonts w:ascii="Courier New" w:hAnsi="Courier New"/>
          <w:sz w:val="18"/>
          <w:shd w:fill="F4F4F4" w:val="clear"/>
        </w:rPr>
        <w:t>wizard-specification.md</w:t>
      </w:r>
      <w:r>
        <w:rPr>
          <w:sz w:val="20"/>
        </w:rPr>
        <w:t xml:space="preserve"> alongside this plan.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417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pBdr>
        <w:top w:val="single" w:sz="4" w:space="1" w:color="CCCCCC"/>
      </w:pBdr>
    </w:pPr>
    <w:r>
      <w:rPr>
        <w:rFonts w:ascii="Calibri" w:hAnsi="Calibri"/>
        <w:color w:val="888888"/>
        <w:sz w:val="16"/>
      </w:rPr>
      <w:t>Confidential — Limitless Programme | v1.0</w:t>
    </w:r>
    <w:r>
      <w:tab/>
    </w:r>
    <w:r>
      <w:rPr>
        <w:rFonts w:ascii="Calibri" w:hAnsi="Calibri"/>
        <w:color w:val="888888"/>
        <w:sz w:val="16"/>
      </w:rPr>
      <w:t xml:space="preserve">Page </w:t>
    </w:r>
    <w:r>
      <w:rPr>
        <w:rFonts w:ascii="Calibri" w:hAnsi="Calibri"/>
        <w:color w:val="888888"/>
        <w:sz w:val="16"/>
      </w:rP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Self-submission Audit Wizard Specification</w:t>
    </w:r>
    <w:r>
      <w:tab/>
    </w:r>
    <w:r>
      <w:rPr>
        <w:rFonts w:ascii="Calibri" w:hAnsi="Calibri"/>
        <w:color w:val="888888"/>
        <w:sz w:val="16"/>
      </w:rPr>
      <w:t>Limitless Modus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C40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D558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