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Building an Earned Wage Access (EWA) Platform</w:t>
      </w:r>
    </w:p>
    <w:p>
      <w:pPr>
        <w:jc w:val="center"/>
      </w:pPr>
      <w:r>
        <w:rPr>
          <w:i/>
        </w:rPr>
        <w:t>Practical guide to advances, payroll recovery, employer settlements, payment integrations and Firebase architecture</w:t>
      </w:r>
    </w:p>
    <w:p>
      <w:r>
        <w:t>Purpose: This document consolidates the discussion into a practical starting blueprint for an EWA platform, with examples using Eswatini lilangeni (E). It distinguishes recommended design choices from provider-specific details that must be confirmed directly with banks, mobile-money operators, payment gateways and legal advisers.</w:t>
      </w:r>
    </w:p>
    <w:p>
      <w:pPr>
        <w:pStyle w:val="Heading1"/>
      </w:pPr>
      <w:r>
        <w:t>1. What EWA does</w:t>
      </w:r>
    </w:p>
    <w:p>
      <w:r>
        <w:t>Earned Wage Access lets an eligible employee access part of wages already earned before the normal payday. The employee receives an early payment, and the amount accessed is then reconciled through payroll and the agreed employer/provider settlement process. Do not assume every product is legally treated the same way: classification, wage-deduction rules, fees and licensing depend on the country and product structure.</w:t>
      </w:r>
    </w:p>
    <w:p>
      <w:r>
        <w:t>Simple example:</w:t>
      </w:r>
    </w:p>
    <w:p>
      <w:pPr>
        <w:pStyle w:val="ListBullet"/>
      </w:pPr>
      <w:r>
        <w:t>Monthly net salary: E10,000</w:t>
      </w:r>
    </w:p>
    <w:p>
      <w:pPr>
        <w:pStyle w:val="ListBullet"/>
      </w:pPr>
      <w:r>
        <w:t>EWA accessed before payday: E2,000</w:t>
      </w:r>
    </w:p>
    <w:p>
      <w:pPr>
        <w:pStyle w:val="ListBullet"/>
      </w:pPr>
      <w:r>
        <w:t>Illustrative remaining salary: E8,000 (subject to payroll rules, fees and other deductions)</w:t>
      </w:r>
    </w:p>
    <w:p>
      <w:pPr>
        <w:pStyle w:val="Heading1"/>
      </w:pPr>
      <w:r>
        <w:t>2. The two main flows</w:t>
      </w:r>
    </w:p>
    <w:p>
      <w:pPr>
        <w:pStyle w:val="Heading2"/>
      </w:pPr>
      <w:r>
        <w:t>A. Paying the employee</w:t>
      </w:r>
    </w:p>
    <w:p>
      <w:r>
        <w:t>1. Employee requests an amount.</w:t>
        <w:br/>
        <w:t>2. The system checks verified earned wages, employer limits, employment status, pay-period rules and prior advances.</w:t>
        <w:br/>
        <w:t>3. The system creates a unique advance record.</w:t>
        <w:br/>
        <w:t>4. A payment provider or other approved funding/payment arrangement sends the money to the employee’s approved account.</w:t>
        <w:br/>
        <w:t>5. The transaction remains recorded as outstanding until payroll and settlement reconciliation are complete.</w:t>
      </w:r>
    </w:p>
    <w:p>
      <w:pPr>
        <w:pStyle w:val="Heading2"/>
      </w:pPr>
      <w:r>
        <w:t>B. Recovering/reconciling the advance at payday</w:t>
      </w:r>
    </w:p>
    <w:p>
      <w:r>
        <w:t>1. Before payroll cutoff, the system produces a deduction file or sends deductions to payroll via an integration.</w:t>
        <w:br/>
        <w:t>2. Employer payroll processes lawful deductions and calculates final pay.</w:t>
        <w:br/>
        <w:t>3. Payroll sends a report confirming what was actually deducted.</w:t>
        <w:br/>
        <w:t>4. The employer settles the agreed total with the EWA provider according to the contract.</w:t>
        <w:br/>
        <w:t>5. The system matches expected deductions, confirmed deductions and received funds; discrepancies become exceptions.</w:t>
      </w:r>
    </w:p>
    <w:p>
      <w:r>
        <w:t>Important: Do not assume the employer always pays on payday or that the exact settlement mechanics are identical across providers. The timing, responsibility for shortfalls, termination handling and payment route must be defined in the commercial agreement.</w:t>
      </w:r>
    </w:p>
    <w:p>
      <w:pPr>
        <w:pStyle w:val="Heading1"/>
      </w:pPr>
      <w:r>
        <w:t>3. Recommended money-flow model</w:t>
      </w:r>
    </w:p>
    <w:p>
      <w:r>
        <w:t>Recommended starting point: your company operates the EWA software and ledger, while a bank, licensed payment provider or mobile-money provider handles the actual movement of money. Avoid building a stored-value wallet or holding employer/employee funds yourself unless you have confirmed the regulatory requirements and obtained any required approvals.</w:t>
      </w:r>
    </w:p>
    <w:p>
      <w:pPr>
        <w:jc w:val="center"/>
      </w:pPr>
      <w:r>
        <w:rPr>
          <w:b/>
        </w:rPr>
        <w:t>EMPLOYEE REQUEST → EWA BACKEND → PAYMENT/FUNDING PROVIDER → EMPLOYEE</w:t>
        <w:br/>
        <w:br/>
        <w:t>PAYROLL DEDUCTION → EMPLOYER SETTLEMENT → BANK/MOMO/GATEWAY → EWA RECONCILIATION</w:t>
      </w:r>
    </w:p>
    <w:p>
      <w:pPr>
        <w:pStyle w:val="Heading1"/>
      </w:pPr>
      <w:r>
        <w:t>4. Three ways employers can settle</w:t>
      </w:r>
    </w:p>
    <w:p>
      <w:pPr>
        <w:pStyle w:val="Heading2"/>
      </w:pPr>
      <w:r>
        <w:t>Option 1 — Bank transfer to your company collection account</w:t>
      </w:r>
    </w:p>
    <w:p>
      <w:r>
        <w:t>Employer transfers the settlement amount to your company’s bank account using a unique reference. Your system learns about the payment from a bank API/transaction feed if available, a statement file, or manual finance verification.</w:t>
      </w:r>
    </w:p>
    <w:p>
      <w:r>
        <w:t>Example reference: EWA-ABC-2026-09-001. Match by employer, reference, currency and amount; do not rely on amount alone.</w:t>
      </w:r>
    </w:p>
    <w:p>
      <w:pPr>
        <w:pStyle w:val="Heading2"/>
      </w:pPr>
      <w:r>
        <w:t>Option 2 — Payment button in the Employer Portal</w:t>
      </w:r>
    </w:p>
    <w:p>
      <w:r>
        <w:t>Employer clicks “Pay Settlement”. Your backend creates a payment request with an integrated provider. The provider presents its supported payment method(s), processes the authorised payment, and notifies your backend of the result. Money settles to the collection account configured with that provider.</w:t>
      </w:r>
    </w:p>
    <w:p>
      <w:r>
        <w:t>This is often the cleanest automated experience, but only works for payment methods and payer flows the provider actually supports. A provider may support consumer MoMo collections but not corporate-to-business settlement in the exact way your app needs; confirm this before building.</w:t>
      </w:r>
    </w:p>
    <w:p>
      <w:pPr>
        <w:pStyle w:val="Heading2"/>
      </w:pPr>
      <w:r>
        <w:t>Option 3 — MoMo or another payment rail</w:t>
      </w:r>
    </w:p>
    <w:p>
      <w:r>
        <w:t>Use an approved business/merchant/API product if it supports the use case, currency, payer type, settlement destination, callbacks and reporting you need. Do not assume that having an ordinary merchant account automatically grants API access or that every provider offers real-time webhooks.</w:t>
      </w:r>
    </w:p>
    <w:p>
      <w:pPr>
        <w:pStyle w:val="Heading2"/>
      </w:pPr>
      <w:r>
        <w:t>Suggested phased approach</w:t>
      </w:r>
    </w:p>
    <w:p>
      <w:pPr>
        <w:pStyle w:val="ListNumber"/>
      </w:pPr>
      <w:r>
        <w:t>MVP: bank transfer with a unique settlement reference, statement upload and admin verification.</w:t>
      </w:r>
    </w:p>
    <w:p>
      <w:pPr>
        <w:pStyle w:val="ListNumber"/>
      </w:pPr>
      <w:r>
        <w:t>Next: automate transaction import or connect a bank/payment provider feed.</w:t>
      </w:r>
    </w:p>
    <w:p>
      <w:pPr>
        <w:pStyle w:val="ListNumber"/>
      </w:pPr>
      <w:r>
        <w:t>Then: add a payment button with provider API and server-to-server callbacks.</w:t>
      </w:r>
    </w:p>
    <w:p>
      <w:pPr>
        <w:pStyle w:val="ListNumber"/>
      </w:pPr>
      <w:r>
        <w:t>Later: add more providers/payment rails behind one common payment-provider interface.</w:t>
      </w:r>
    </w:p>
    <w:p>
      <w:pPr>
        <w:pStyle w:val="Heading1"/>
      </w:pPr>
      <w:r>
        <w:t>5. How the app knows a payment arrived</w:t>
      </w:r>
    </w:p>
    <w:p>
      <w:r>
        <w:t>A webhook is a server-to-server message. When a payment provider processes a transaction, it sends an HTTPS request to a backend URL you configure. In Firebase, this can be an HTTP Cloud Function. The function verifies the provider’s signature/authentication, checks the transaction status, amount, currency and reference, prevents duplicate processing, and updates the settlement ledger.</w:t>
      </w:r>
    </w:p>
    <w:p>
      <w:pPr>
        <w:jc w:val="center"/>
      </w:pPr>
      <w:r>
        <w:rPr>
          <w:b/>
        </w:rPr>
        <w:t>Employer authorises payment</w:t>
        <w:br/>
        <w:t xml:space="preserve">        ↓</w:t>
        <w:br/>
        <w:t>Bank/payment provider processes it</w:t>
        <w:br/>
        <w:t xml:space="preserve">        ↓</w:t>
        <w:br/>
        <w:t>Provider calls your HTTPS webhook</w:t>
        <w:br/>
        <w:t xml:space="preserve">        ↓</w:t>
        <w:br/>
        <w:t>Firebase Cloud Function verifies it</w:t>
        <w:br/>
        <w:t xml:space="preserve">        ↓</w:t>
        <w:br/>
        <w:t>Firestore records the verified event</w:t>
        <w:br/>
        <w:t xml:space="preserve">        ↓</w:t>
        <w:br/>
        <w:t>Settlement status becomes SETTLED</w:t>
      </w:r>
    </w:p>
    <w:p>
      <w:r>
        <w:t>If the employer independently makes a normal bank transfer, a payment-button webhook may not exist. In that case use a bank transaction feed, electronic statement import, virtual/unique account reference if the bank offers it, or manual verification for the MVP.</w:t>
      </w:r>
    </w:p>
    <w:p>
      <w:pPr>
        <w:pStyle w:val="Heading1"/>
      </w:pPr>
      <w:r>
        <w:t>6. Suggested settlement statuses</w:t>
      </w:r>
    </w:p>
    <w:p>
      <w:pPr>
        <w:pStyle w:val="ListBullet"/>
      </w:pPr>
      <w:r>
        <w:t>DRAFT — settlement calculation not final.</w:t>
      </w:r>
    </w:p>
    <w:p>
      <w:pPr>
        <w:pStyle w:val="ListBullet"/>
      </w:pPr>
      <w:r>
        <w:t>DUE — amount due and ready for payment.</w:t>
      </w:r>
    </w:p>
    <w:p>
      <w:pPr>
        <w:pStyle w:val="ListBullet"/>
      </w:pPr>
      <w:r>
        <w:t>PAYMENT_INITIATED — payment request created.</w:t>
      </w:r>
    </w:p>
    <w:p>
      <w:pPr>
        <w:pStyle w:val="ListBullet"/>
      </w:pPr>
      <w:r>
        <w:t>PENDING_PROVIDER — waiting for provider confirmation.</w:t>
      </w:r>
    </w:p>
    <w:p>
      <w:pPr>
        <w:pStyle w:val="ListBullet"/>
      </w:pPr>
      <w:r>
        <w:t>PARTIALLY_SETTLED — some but not all funds received.</w:t>
      </w:r>
    </w:p>
    <w:p>
      <w:pPr>
        <w:pStyle w:val="ListBullet"/>
      </w:pPr>
      <w:r>
        <w:t>SETTLED — expected amount received and reconciled.</w:t>
      </w:r>
    </w:p>
    <w:p>
      <w:pPr>
        <w:pStyle w:val="ListBullet"/>
      </w:pPr>
      <w:r>
        <w:t>FAILED — provider confirms payment failed.</w:t>
      </w:r>
    </w:p>
    <w:p>
      <w:pPr>
        <w:pStyle w:val="ListBullet"/>
      </w:pPr>
      <w:r>
        <w:t>EXCEPTION — amount/reference mismatch or unresolved discrepancy.</w:t>
      </w:r>
    </w:p>
    <w:p>
      <w:pPr>
        <w:pStyle w:val="ListBullet"/>
      </w:pPr>
      <w:r>
        <w:t>CANCELLED — cancelled under authorised rules before settlement.</w:t>
      </w:r>
    </w:p>
    <w:p>
      <w:pPr>
        <w:pStyle w:val="Heading1"/>
      </w:pPr>
      <w:r>
        <w:t>7. Illustrative reconciliation example</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Amount</w:t>
            </w:r>
          </w:p>
        </w:tc>
      </w:tr>
      <w:tr>
        <w:tc>
          <w:tcPr>
            <w:tcW w:type="dxa" w:w="4968"/>
          </w:tcPr>
          <w:p>
            <w:r>
              <w:t>Expected payroll deductions</w:t>
            </w:r>
          </w:p>
        </w:tc>
        <w:tc>
          <w:tcPr>
            <w:tcW w:type="dxa" w:w="4968"/>
          </w:tcPr>
          <w:p>
            <w:r>
              <w:t>E50,000</w:t>
            </w:r>
          </w:p>
        </w:tc>
      </w:tr>
      <w:tr>
        <w:tc>
          <w:tcPr>
            <w:tcW w:type="dxa" w:w="4968"/>
          </w:tcPr>
          <w:p>
            <w:r>
              <w:t>Deductions confirmed by payroll</w:t>
            </w:r>
          </w:p>
        </w:tc>
        <w:tc>
          <w:tcPr>
            <w:tcW w:type="dxa" w:w="4968"/>
          </w:tcPr>
          <w:p>
            <w:r>
              <w:t>E49,500</w:t>
            </w:r>
          </w:p>
        </w:tc>
      </w:tr>
      <w:tr>
        <w:tc>
          <w:tcPr>
            <w:tcW w:type="dxa" w:w="4968"/>
          </w:tcPr>
          <w:p>
            <w:r>
              <w:t>Funds received</w:t>
            </w:r>
          </w:p>
        </w:tc>
        <w:tc>
          <w:tcPr>
            <w:tcW w:type="dxa" w:w="4968"/>
          </w:tcPr>
          <w:p>
            <w:r>
              <w:t>E49,500</w:t>
            </w:r>
          </w:p>
        </w:tc>
      </w:tr>
      <w:tr>
        <w:tc>
          <w:tcPr>
            <w:tcW w:type="dxa" w:w="4968"/>
          </w:tcPr>
          <w:p>
            <w:r>
              <w:t>Outstanding difference</w:t>
            </w:r>
          </w:p>
        </w:tc>
        <w:tc>
          <w:tcPr>
            <w:tcW w:type="dxa" w:w="4968"/>
          </w:tcPr>
          <w:p>
            <w:r>
              <w:t>E500</w:t>
            </w:r>
          </w:p>
        </w:tc>
      </w:tr>
    </w:tbl>
    <w:p>
      <w:r>
        <w:t>The system should not mark the full settlement as paid just because some money arrived. It should show the shortfall, identify affected employees/transactions where possible, and keep an auditable exception until resolved.</w:t>
      </w:r>
    </w:p>
    <w:p>
      <w:pPr>
        <w:pStyle w:val="Heading1"/>
      </w:pPr>
      <w:r>
        <w:t>8. Suggested Firebase/Firestore data model</w:t>
      </w:r>
    </w:p>
    <w:p>
      <w:r>
        <w:rPr>
          <w:b/>
        </w:rPr>
        <w:t xml:space="preserve">companies — </w:t>
      </w:r>
      <w:r>
        <w:t>Employer profile, legal/business details, status, payroll schedule, settlement preferences, authorised contacts.</w:t>
      </w:r>
    </w:p>
    <w:p>
      <w:r>
        <w:rPr>
          <w:b/>
        </w:rPr>
        <w:t xml:space="preserve">employees — </w:t>
      </w:r>
      <w:r>
        <w:t>Employer ID, employee/payroll ID, status, pay cycle, approved payout destination reference; minimise sensitive data.</w:t>
      </w:r>
    </w:p>
    <w:p>
      <w:r>
        <w:rPr>
          <w:b/>
        </w:rPr>
        <w:t xml:space="preserve">payPeriods — </w:t>
      </w:r>
      <w:r>
        <w:t>Company ID, start/end dates, payroll cutoff, payday, status.</w:t>
      </w:r>
    </w:p>
    <w:p>
      <w:r>
        <w:rPr>
          <w:b/>
        </w:rPr>
        <w:t xml:space="preserve">attendance / earnedWages — </w:t>
      </w:r>
      <w:r>
        <w:t>Source records, hours/shift verification, calculation inputs, calculated earned amount and timestamps.</w:t>
      </w:r>
    </w:p>
    <w:p>
      <w:r>
        <w:rPr>
          <w:b/>
        </w:rPr>
        <w:t xml:space="preserve">ewaRequests — </w:t>
      </w:r>
      <w:r>
        <w:t>Request amount, eligibility result, decision, employee/company/pay-period IDs.</w:t>
      </w:r>
    </w:p>
    <w:p>
      <w:r>
        <w:rPr>
          <w:b/>
        </w:rPr>
        <w:t xml:space="preserve">ewaTransactions — </w:t>
      </w:r>
      <w:r>
        <w:t>Advance ID, employee/company/pay-period IDs, principal amount, fee, payout status, payroll deduction status.</w:t>
      </w:r>
    </w:p>
    <w:p>
      <w:r>
        <w:rPr>
          <w:b/>
        </w:rPr>
        <w:t xml:space="preserve">payrollDeductions — </w:t>
      </w:r>
      <w:r>
        <w:t>Employee/pay-period, expected amount, payroll-confirmed amount, payroll import/API batch, status.</w:t>
      </w:r>
    </w:p>
    <w:p>
      <w:r>
        <w:rPr>
          <w:b/>
        </w:rPr>
        <w:t xml:space="preserve">settlements — </w:t>
      </w:r>
      <w:r>
        <w:t>Company/pay-period, expected amount, confirmed deductions, received amount, outstanding amount, status.</w:t>
      </w:r>
    </w:p>
    <w:p>
      <w:r>
        <w:rPr>
          <w:b/>
        </w:rPr>
        <w:t xml:space="preserve">settlementItems — </w:t>
      </w:r>
      <w:r>
        <w:t>Individual advance/deduction items included in each settlement.</w:t>
      </w:r>
    </w:p>
    <w:p>
      <w:r>
        <w:rPr>
          <w:b/>
        </w:rPr>
        <w:t xml:space="preserve">paymentTransactions — </w:t>
      </w:r>
      <w:r>
        <w:t>Provider, provider transaction ID, reference, amount, currency, status, timestamps, verified callback details.</w:t>
      </w:r>
    </w:p>
    <w:p>
      <w:r>
        <w:rPr>
          <w:b/>
        </w:rPr>
        <w:t xml:space="preserve">reconciliationExceptions — </w:t>
      </w:r>
      <w:r>
        <w:t>Mismatch type, expected/actual values, owner, resolution status and audit history.</w:t>
      </w:r>
    </w:p>
    <w:p>
      <w:r>
        <w:rPr>
          <w:b/>
        </w:rPr>
        <w:t xml:space="preserve">auditLogs — </w:t>
      </w:r>
      <w:r>
        <w:t>Who did what, when, and the relevant record ID; restrict access and avoid logging secrets.</w:t>
      </w:r>
    </w:p>
    <w:p>
      <w:pPr>
        <w:pStyle w:val="Heading1"/>
      </w:pPr>
      <w:r>
        <w:t>9. Example record fields</w:t>
      </w:r>
    </w:p>
    <w:p>
      <w:pPr>
        <w:pStyle w:val="Heading2"/>
      </w:pPr>
      <w:r>
        <w:t>Settlement</w:t>
      </w:r>
    </w:p>
    <w:p>
      <w:r>
        <w:t>settlementId</w:t>
        <w:br/>
        <w:t>companyId</w:t>
        <w:br/>
        <w:t>payPeriodId</w:t>
        <w:br/>
        <w:t>currency</w:t>
        <w:br/>
        <w:t>expectedAmount</w:t>
        <w:br/>
        <w:t>deductionsConfirmedAmount</w:t>
        <w:br/>
        <w:t>amountReceived</w:t>
        <w:br/>
        <w:t>outstandingAmount</w:t>
        <w:br/>
        <w:t>paymentMethod</w:t>
        <w:br/>
        <w:t>paymentReference</w:t>
        <w:br/>
        <w:t>providerTransactionId</w:t>
        <w:br/>
        <w:t>status</w:t>
        <w:br/>
        <w:t>createdAt</w:t>
        <w:br/>
        <w:t>paidAt</w:t>
        <w:br/>
        <w:t>reconciledAt</w:t>
      </w:r>
    </w:p>
    <w:p>
      <w:pPr>
        <w:pStyle w:val="Heading2"/>
      </w:pPr>
      <w:r>
        <w:t>Payment transaction</w:t>
      </w:r>
    </w:p>
    <w:p>
      <w:r>
        <w:t>paymentTransactionId</w:t>
        <w:br/>
        <w:t>providerId</w:t>
        <w:br/>
        <w:t>companyId</w:t>
        <w:br/>
        <w:t>settlementId</w:t>
        <w:br/>
        <w:t>providerTransactionId</w:t>
        <w:br/>
        <w:t>reference</w:t>
        <w:br/>
        <w:t>amount</w:t>
        <w:br/>
        <w:t>currency</w:t>
        <w:br/>
        <w:t>providerStatus</w:t>
        <w:br/>
        <w:t>verificationStatus</w:t>
        <w:br/>
        <w:t>receivedAt</w:t>
        <w:br/>
        <w:t>processedAt</w:t>
        <w:br/>
        <w:t>rawEventHash</w:t>
      </w:r>
    </w:p>
    <w:p>
      <w:r>
        <w:t>Use integer minor units for money where appropriate (for example cents/lilangeni subdivisions) or a carefully defined decimal-money approach; never rely on imprecise floating-point arithmetic for financial balances.</w:t>
      </w:r>
    </w:p>
    <w:p>
      <w:pPr>
        <w:pStyle w:val="Heading1"/>
      </w:pPr>
      <w:r>
        <w:t>10. Essential safeguards</w:t>
      </w:r>
    </w:p>
    <w:p>
      <w:pPr>
        <w:pStyle w:val="ListBullet"/>
      </w:pPr>
      <w:r>
        <w:t>Verify callbacks server-side; never mark a payment paid based only on the employer’s browser/app message or an uploaded screenshot.</w:t>
      </w:r>
    </w:p>
    <w:p>
      <w:pPr>
        <w:pStyle w:val="ListBullet"/>
      </w:pPr>
      <w:r>
        <w:t>Use idempotency: the same provider event may arrive more than once, but it must never double-count a payment.</w:t>
      </w:r>
    </w:p>
    <w:p>
      <w:pPr>
        <w:pStyle w:val="ListBullet"/>
      </w:pPr>
      <w:r>
        <w:t>Check provider transaction ID, reference, amount, currency and final status; query the provider for status when callback evidence is uncertain.</w:t>
      </w:r>
    </w:p>
    <w:p>
      <w:pPr>
        <w:pStyle w:val="ListBullet"/>
      </w:pPr>
      <w:r>
        <w:t>Keep an immutable financial ledger and audit trail; do not simply overwrite balances without recording the underlying entries.</w:t>
      </w:r>
    </w:p>
    <w:p>
      <w:pPr>
        <w:pStyle w:val="ListBullet"/>
      </w:pPr>
      <w:r>
        <w:t>Use least-privilege access and server-side authorization. Never put payment API secrets in the mobile/web client.</w:t>
      </w:r>
    </w:p>
    <w:p>
      <w:pPr>
        <w:pStyle w:val="ListBullet"/>
      </w:pPr>
      <w:r>
        <w:t>Test failed, pending, duplicate, late, partial and reversed payments.</w:t>
      </w:r>
    </w:p>
    <w:p>
      <w:pPr>
        <w:pStyle w:val="ListBullet"/>
      </w:pPr>
      <w:r>
        <w:t>Create alerts for unsettled balances, payroll shortfalls, failed payouts and employers past the agreed settlement date.</w:t>
      </w:r>
    </w:p>
    <w:p>
      <w:pPr>
        <w:pStyle w:val="ListBullet"/>
      </w:pPr>
      <w:r>
        <w:t>Define what happens when an employee resigns, is terminated, has insufficient final pay, disputes a deduction, or payroll data is corrected.</w:t>
      </w:r>
    </w:p>
    <w:p>
      <w:pPr>
        <w:pStyle w:val="ListBullet"/>
      </w:pPr>
      <w:r>
        <w:t>Use a staged launch with small amounts and manual review before enabling automated high-value payouts.</w:t>
      </w:r>
    </w:p>
    <w:p>
      <w:pPr>
        <w:pStyle w:val="Heading1"/>
      </w:pPr>
      <w:r>
        <w:t>11. Funding is a separate decision</w:t>
      </w:r>
    </w:p>
    <w:p>
      <w:r>
        <w:t>Settlement integration does not itself provide the money for employee advances. Decide separately whether advances are funded by your own capital, the employer (including a prefunded arrangement), or a funding partner. Design the software so the funding source can change without changing the core ledger. Model liquidity needs, payout costs, collection fees, timing gaps and losses before launch.</w:t>
      </w:r>
    </w:p>
    <w:p>
      <w:pPr>
        <w:pStyle w:val="Heading1"/>
      </w:pPr>
      <w:r>
        <w:t>12. Fees and commercial discussions</w:t>
      </w:r>
    </w:p>
    <w:p>
      <w:r>
        <w:t>Provider fees vary by country, product, transaction size, business category and negotiated terms. Publicly quoted figures should be treated as indicative, not as a guaranteed offer. Request a written commercial proposal that separates:</w:t>
      </w:r>
    </w:p>
    <w:p>
      <w:pPr>
        <w:pStyle w:val="ListBullet"/>
      </w:pPr>
      <w:r>
        <w:t>API access, onboarding and setup fees.</w:t>
      </w:r>
    </w:p>
    <w:p>
      <w:pPr>
        <w:pStyle w:val="ListBullet"/>
      </w:pPr>
      <w:r>
        <w:t>Per-transaction or percentage collection fees.</w:t>
      </w:r>
    </w:p>
    <w:p>
      <w:pPr>
        <w:pStyle w:val="ListBullet"/>
      </w:pPr>
      <w:r>
        <w:t>Payout/disbursement fees to employees.</w:t>
      </w:r>
    </w:p>
    <w:p>
      <w:pPr>
        <w:pStyle w:val="ListBullet"/>
      </w:pPr>
      <w:r>
        <w:t>Settlement/withdrawal fees to your bank account.</w:t>
      </w:r>
    </w:p>
    <w:p>
      <w:pPr>
        <w:pStyle w:val="ListBullet"/>
      </w:pPr>
      <w:r>
        <w:t>Statement/feed/API fees.</w:t>
      </w:r>
    </w:p>
    <w:p>
      <w:pPr>
        <w:pStyle w:val="ListBullet"/>
      </w:pPr>
      <w:r>
        <w:t>Minimum monthly fees, reserves, refund/chargeback costs and settlement timing.</w:t>
      </w:r>
    </w:p>
    <w:p>
      <w:r>
        <w:t>Ask providers whether they support Eswatini, SZL, corporate payers, your intended settlement destination, server-to-server callbacks, transaction-status lookup, reconciliation reports, test/sandbox access, production approval and the exact commercial terms for an EWA business.</w:t>
      </w:r>
    </w:p>
    <w:p>
      <w:pPr>
        <w:pStyle w:val="Heading1"/>
      </w:pPr>
      <w:r>
        <w:t>13. Employer onboarding and contract points</w:t>
      </w:r>
    </w:p>
    <w:p>
      <w:pPr>
        <w:pStyle w:val="ListBullet"/>
      </w:pPr>
      <w:r>
        <w:t>Employer authorisation and eligibility rules.</w:t>
      </w:r>
    </w:p>
    <w:p>
      <w:pPr>
        <w:pStyle w:val="ListBullet"/>
      </w:pPr>
      <w:r>
        <w:t>How attendance, earned wages and employee status are provided and updated.</w:t>
      </w:r>
    </w:p>
    <w:p>
      <w:pPr>
        <w:pStyle w:val="ListBullet"/>
      </w:pPr>
      <w:r>
        <w:t>Payroll deduction process and cutoff deadlines.</w:t>
      </w:r>
    </w:p>
    <w:p>
      <w:pPr>
        <w:pStyle w:val="ListBullet"/>
      </w:pPr>
      <w:r>
        <w:t>Employer’s responsibilities for deductions, remittance and reconciliation.</w:t>
      </w:r>
    </w:p>
    <w:p>
      <w:pPr>
        <w:pStyle w:val="ListBullet"/>
      </w:pPr>
      <w:r>
        <w:t>Settlement timetable, bank holidays and late/partial payment treatment.</w:t>
      </w:r>
    </w:p>
    <w:p>
      <w:pPr>
        <w:pStyle w:val="ListBullet"/>
      </w:pPr>
      <w:r>
        <w:t>Employee termination, insufficient final wages, disputes and corrections.</w:t>
      </w:r>
    </w:p>
    <w:p>
      <w:pPr>
        <w:pStyle w:val="ListBullet"/>
      </w:pPr>
      <w:r>
        <w:t>Fees, complaints, data sharing, privacy, security and audit rights.</w:t>
      </w:r>
    </w:p>
    <w:p>
      <w:pPr>
        <w:pStyle w:val="ListBullet"/>
      </w:pPr>
      <w:r>
        <w:t>Responsibilities for fraud, incorrect data, payment failure and unresolved balances.</w:t>
      </w:r>
    </w:p>
    <w:p>
      <w:r>
        <w:t>Have local legal and regulatory specialists review the product before launch. Wage deductions, EWA/credit classification, consumer protection, data protection, payment services, AML/KYC and safeguarding requirements depend on the exact product and jurisdiction.</w:t>
      </w:r>
    </w:p>
    <w:p>
      <w:pPr>
        <w:pStyle w:val="Heading1"/>
      </w:pPr>
      <w:r>
        <w:t>14. A practical build plan for the current Firebase project</w:t>
      </w:r>
    </w:p>
    <w:p>
      <w:pPr>
        <w:pStyle w:val="ListNumber"/>
      </w:pPr>
      <w:r>
        <w:t>First implement the ledger and settlement states without moving real money.</w:t>
      </w:r>
    </w:p>
    <w:p>
      <w:pPr>
        <w:pStyle w:val="ListNumber"/>
      </w:pPr>
      <w:r>
        <w:t>Create test companies, employees, pay periods, advances, payroll deduction batches and settlement records.</w:t>
      </w:r>
    </w:p>
    <w:p>
      <w:pPr>
        <w:pStyle w:val="ListNumber"/>
      </w:pPr>
      <w:r>
        <w:t>Build CSV import/export and a finance-admin verification workflow.</w:t>
      </w:r>
    </w:p>
    <w:p>
      <w:pPr>
        <w:pStyle w:val="ListNumber"/>
      </w:pPr>
      <w:r>
        <w:t>Add reconciliation reports and exception handling.</w:t>
      </w:r>
    </w:p>
    <w:p>
      <w:pPr>
        <w:pStyle w:val="ListNumber"/>
      </w:pPr>
      <w:r>
        <w:t>Choose one provider after confirming commercial/API support; build a provider adapter in Cloud Functions.</w:t>
      </w:r>
    </w:p>
    <w:p>
      <w:pPr>
        <w:pStyle w:val="ListNumber"/>
      </w:pPr>
      <w:r>
        <w:t>Implement a secure webhook, provider-status lookup and idempotent processing.</w:t>
      </w:r>
    </w:p>
    <w:p>
      <w:pPr>
        <w:pStyle w:val="ListNumber"/>
      </w:pPr>
      <w:r>
        <w:t>Test in sandbox/test mode, then pilot with one employer and capped amounts.</w:t>
      </w:r>
    </w:p>
    <w:p>
      <w:pPr>
        <w:pStyle w:val="ListNumber"/>
      </w:pPr>
      <w:r>
        <w:t>Enable production payments only after legal, provider, security and operational checks are complete.</w:t>
      </w:r>
    </w:p>
    <w:p>
      <w:pPr>
        <w:pStyle w:val="Heading1"/>
      </w:pPr>
      <w:r>
        <w:t>15. Questions to send banks and MoMo providers</w:t>
      </w:r>
    </w:p>
    <w:p>
      <w:r>
        <w:t>We are developing an earned-wage-access (EWA) platform in Eswatini. Employers will settle aggregated payroll-deduction amounts to our company. Please confirm whether you offer a business collections/API product or corporate transaction feed suitable for this model.</w:t>
      </w:r>
    </w:p>
    <w:p>
      <w:pPr>
        <w:pStyle w:val="ListBullet"/>
      </w:pPr>
      <w:r>
        <w:t>Do you support business/API collections for corporate payers in SZL?</w:t>
      </w:r>
    </w:p>
    <w:p>
      <w:pPr>
        <w:pStyle w:val="ListBullet"/>
      </w:pPr>
      <w:r>
        <w:t>Can the employer initiate payment from its bank/MoMo account through our portal, or must it use its own banking channel?</w:t>
      </w:r>
    </w:p>
    <w:p>
      <w:pPr>
        <w:pStyle w:val="ListBullet"/>
      </w:pPr>
      <w:r>
        <w:t>Do you provide signed webhooks/callbacks and a transaction-status API?</w:t>
      </w:r>
    </w:p>
    <w:p>
      <w:pPr>
        <w:pStyle w:val="ListBullet"/>
      </w:pPr>
      <w:r>
        <w:t>Can each employer/settlement have a unique reference or virtual account?</w:t>
      </w:r>
    </w:p>
    <w:p>
      <w:pPr>
        <w:pStyle w:val="ListBullet"/>
      </w:pPr>
      <w:r>
        <w:t>How and when do collected funds settle into our company account?</w:t>
      </w:r>
    </w:p>
    <w:p>
      <w:pPr>
        <w:pStyle w:val="ListBullet"/>
      </w:pPr>
      <w:r>
        <w:t>What are setup, API, transaction, payout, statement and monthly minimum fees?</w:t>
      </w:r>
    </w:p>
    <w:p>
      <w:pPr>
        <w:pStyle w:val="ListBullet"/>
      </w:pPr>
      <w:r>
        <w:t>Are sandbox credentials available, and what are the production onboarding requirements?</w:t>
      </w:r>
    </w:p>
    <w:p>
      <w:pPr>
        <w:pStyle w:val="ListBullet"/>
      </w:pPr>
      <w:r>
        <w:t>Can you support both collection from employers and disbursement to employees?</w:t>
      </w:r>
    </w:p>
    <w:p>
      <w:pPr>
        <w:pStyle w:val="ListBullet"/>
      </w:pPr>
      <w:r>
        <w:t>What limits, reserves, KYC/AML checks and contractual requirements apply?</w:t>
      </w:r>
    </w:p>
    <w:p>
      <w:pPr>
        <w:pStyle w:val="Heading1"/>
      </w:pPr>
      <w:r>
        <w:t>16. Official technical reference</w:t>
      </w:r>
    </w:p>
    <w:p>
      <w:r>
        <w:t>Firebase Cloud Functions supports HTTP-triggered endpoints that can receive server-to-server HTTP requests. See the official guide: https://firebase.google.com/docs/functions/http-events</w:t>
      </w:r>
    </w:p>
    <w:p>
      <w:r>
        <w:t>Firebase documents that production deployment of Cloud Functions requires the Blaze plan. Review current pricing and billing controls before enabling live workloads: https://firebase.google.com/docs/functions/get-started</w:t>
      </w:r>
    </w:p>
    <w:p>
      <w:pPr>
        <w:pStyle w:val="Heading1"/>
      </w:pPr>
      <w:r>
        <w:t>Bottom line</w:t>
      </w:r>
    </w:p>
    <w:p>
      <w:r>
        <w:rPr>
          <w:b/>
        </w:rPr>
        <w:t>Make your EWA platform the system of record for eligibility, advances, deductions, settlements and reconciliation. Let a bank or licensed payment provider move the money. For the first release, bank transfer plus unique references and manual verification can work; then add transaction feeds or a payment-button/API integration once a provider confirms it supports your exact Eswatini use case.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EWA Platform Blueprint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