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A1A1A"/>
          <w:sz w:val="52"/>
        </w:rPr>
        <w:t>Plate Forge</w:t>
      </w:r>
    </w:p>
    <w:p>
      <w:pPr>
        <w:spacing w:after="40"/>
      </w:pPr>
      <w:r>
        <w:rPr>
          <w:color w:val="5A636E"/>
          <w:sz w:val="25"/>
        </w:rPr>
        <w:t>A single-sided car parking number plate you can re-letter in fifteen minutes</w:t>
      </w:r>
    </w:p>
    <w:p>
      <w:pPr>
        <w:spacing w:after="280"/>
      </w:pPr>
      <w:r>
        <w:rPr>
          <w:color w:val="5A636E"/>
          <w:sz w:val="18"/>
        </w:rPr>
        <w:t>Design note  ·  print settings  ·  OpenSCAD source  ·  October 2026</w:t>
      </w:r>
    </w:p>
    <w:p>
      <w:pPr>
        <w:spacing w:before="40" w:after="200"/>
        <w:pBdr>
          <w:bottom w:val="single" w:sz="6" w:space="1" w:color="C9D1D9"/>
        </w:pBdr>
      </w:pPr>
    </w:p>
    <w:p>
      <w:pPr>
        <w:spacing w:before="120" w:after="60"/>
        <w:jc w:val="center"/>
      </w:pPr>
      <w:r>
        <w:drawing>
          <wp:inline xmlns:a="http://schemas.openxmlformats.org/drawingml/2006/main" xmlns:pic="http://schemas.openxmlformats.org/drawingml/2006/picture">
            <wp:extent cx="5544000" cy="3696000"/>
            <wp:docPr id="1" name="Picture 1"/>
            <wp:cNvGraphicFramePr>
              <a:graphicFrameLocks noChangeAspect="1"/>
            </wp:cNvGraphicFramePr>
            <a:graphic>
              <a:graphicData uri="http://schemas.openxmlformats.org/drawingml/2006/picture">
                <pic:pic>
                  <pic:nvPicPr>
                    <pic:cNvPr id="0" name="assembled.png"/>
                    <pic:cNvPicPr/>
                  </pic:nvPicPr>
                  <pic:blipFill>
                    <a:blip r:embed="rId9"/>
                    <a:stretch>
                      <a:fillRect/>
                    </a:stretch>
                  </pic:blipFill>
                  <pic:spPr>
                    <a:xfrm>
                      <a:off x="0" y="0"/>
                      <a:ext cx="5544000" cy="3696000"/>
                    </a:xfrm>
                    <a:prstGeom prst="rect"/>
                  </pic:spPr>
                </pic:pic>
              </a:graphicData>
            </a:graphic>
          </wp:inline>
        </w:drawing>
      </w:r>
    </w:p>
    <w:p>
      <w:pPr>
        <w:spacing w:after="240"/>
        <w:jc w:val="center"/>
      </w:pPr>
      <w:r>
        <w:rPr>
          <w:i/>
          <w:color w:val="5A636E"/>
          <w:sz w:val="18"/>
        </w:rPr>
        <w:t>The panel seated in the easel at a 30° rake. The number is a 0.6 mm engraved groove.</w:t>
      </w:r>
    </w:p>
    <w:p>
      <w:pPr>
        <w:pStyle w:val="Heading1"/>
      </w:pPr>
      <w:r>
        <w:t>1. What this is</w:t>
      </w:r>
    </w:p>
    <w:p>
      <w:r>
        <w:rPr>
          <w:b w:val="0"/>
          <w:i w:val="0"/>
        </w:rPr>
        <w:t>A parking plate consists of two parts. The number panel is a flat 3 mm plate with the digits engraved 0.6 mm into the face; it prints face up, flat on the bed, with no supports. The easel is a separate wedge that holds the panel at a 30° rake and is printed once. Because the easel is reusable, changing the number costs one panel — about fifteen minutes and eleven grams — instead of a whole new plate.</w:t>
      </w:r>
    </w:p>
    <w:p>
      <w:r>
        <w:rPr>
          <w:b w:val="0"/>
          <w:i w:val="0"/>
        </w:rPr>
        <w:t>Everything is sized for a Bambu Lab A1 mini. With the default eleven-character number the panel comes out 158 × 30 × 3 mm and the easel 167 × 28 × 32 mm, so both fit the 180 mm bed together.</w:t>
      </w:r>
    </w:p>
    <w:p>
      <w:pPr>
        <w:pStyle w:val="Heading1"/>
      </w:pPr>
      <w:r>
        <w:t>2. The decision that shapes everything</w:t>
      </w:r>
    </w:p>
    <w:p>
      <w:r>
        <w:rPr>
          <w:b w:val="0"/>
          <w:i w:val="0"/>
        </w:rPr>
        <w:t>Two reasonable requirements pull against each other, and the choice between them decides the rest of the design: PLA is the plastic that takes ink, and PETG is the plastic that survives a car. You cannot have both on this machine.</w:t>
      </w:r>
    </w:p>
    <w:tbl>
      <w:tblPr>
        <w:tblStyle w:val="TableGrid"/>
        <w:tblW w:type="auto" w:w="0"/>
        <w:jc w:val="center"/>
        <w:tblLook w:firstColumn="1" w:firstRow="1" w:lastColumn="0" w:lastRow="0" w:noHBand="0" w:noVBand="1" w:val="04A0"/>
      </w:tblPr>
      <w:tblGrid>
        <w:gridCol w:w="3173"/>
        <w:gridCol w:w="3173"/>
        <w:gridCol w:w="3173"/>
      </w:tblGrid>
      <w:tr>
        <w:tc>
          <w:tcPr>
            <w:tcW w:type="dxa" w:w="2494"/>
            <w:shd w:val="clear" w:fill="EEF3F1"/>
          </w:tcPr>
          <w:p>
            <w:r/>
            <w:r>
              <w:rPr>
                <w:rFonts w:ascii="Arial" w:hAnsi="Arial"/>
                <w:b/>
                <w:sz w:val="19"/>
              </w:rPr>
            </w:r>
          </w:p>
        </w:tc>
        <w:tc>
          <w:tcPr>
            <w:tcW w:type="dxa" w:w="3005"/>
            <w:shd w:val="clear" w:fill="EEF3F1"/>
          </w:tcPr>
          <w:p>
            <w:r/>
            <w:r>
              <w:rPr>
                <w:rFonts w:ascii="Arial" w:hAnsi="Arial"/>
                <w:b/>
                <w:sz w:val="19"/>
              </w:rPr>
              <w:t>PLA</w:t>
            </w:r>
          </w:p>
        </w:tc>
        <w:tc>
          <w:tcPr>
            <w:tcW w:type="dxa" w:w="3231"/>
            <w:shd w:val="clear" w:fill="EEF3F1"/>
          </w:tcPr>
          <w:p>
            <w:r/>
            <w:r>
              <w:rPr>
                <w:rFonts w:ascii="Arial" w:hAnsi="Arial"/>
                <w:b/>
                <w:sz w:val="19"/>
              </w:rPr>
              <w:t>PETG</w:t>
            </w:r>
          </w:p>
        </w:tc>
      </w:tr>
      <w:tr>
        <w:tc>
          <w:tcPr>
            <w:tcW w:type="dxa" w:w="2494"/>
          </w:tcPr>
          <w:p>
            <w:r/>
            <w:r>
              <w:rPr>
                <w:rFonts w:ascii="Arial" w:hAnsi="Arial"/>
                <w:sz w:val="19"/>
              </w:rPr>
              <w:t>Marker / paint adhesion</w:t>
            </w:r>
          </w:p>
        </w:tc>
        <w:tc>
          <w:tcPr>
            <w:tcW w:type="dxa" w:w="3005"/>
          </w:tcPr>
          <w:p>
            <w:r/>
            <w:r>
              <w:rPr>
                <w:rFonts w:ascii="Arial" w:hAnsi="Arial"/>
                <w:sz w:val="19"/>
              </w:rPr>
              <w:t>good; forgiving of a missed primer</w:t>
            </w:r>
          </w:p>
        </w:tc>
        <w:tc>
          <w:tcPr>
            <w:tcW w:type="dxa" w:w="3231"/>
          </w:tcPr>
          <w:p>
            <w:r/>
            <w:r>
              <w:rPr>
                <w:rFonts w:ascii="Arial" w:hAnsi="Arial"/>
                <w:sz w:val="19"/>
              </w:rPr>
              <w:t>poor; ink beads on it, primer is not optional</w:t>
            </w:r>
          </w:p>
        </w:tc>
      </w:tr>
      <w:tr>
        <w:tc>
          <w:tcPr>
            <w:tcW w:type="dxa" w:w="2494"/>
          </w:tcPr>
          <w:p>
            <w:r/>
            <w:r>
              <w:rPr>
                <w:rFonts w:ascii="Arial" w:hAnsi="Arial"/>
                <w:sz w:val="19"/>
              </w:rPr>
              <w:t>Softens at</w:t>
            </w:r>
          </w:p>
        </w:tc>
        <w:tc>
          <w:tcPr>
            <w:tcW w:type="dxa" w:w="3005"/>
          </w:tcPr>
          <w:p>
            <w:r/>
            <w:r>
              <w:rPr>
                <w:rFonts w:ascii="Arial" w:hAnsi="Arial"/>
                <w:sz w:val="19"/>
              </w:rPr>
              <w:t>57–60 °C</w:t>
            </w:r>
          </w:p>
        </w:tc>
        <w:tc>
          <w:tcPr>
            <w:tcW w:type="dxa" w:w="3231"/>
          </w:tcPr>
          <w:p>
            <w:r/>
            <w:r>
              <w:rPr>
                <w:rFonts w:ascii="Arial" w:hAnsi="Arial"/>
                <w:sz w:val="19"/>
              </w:rPr>
              <w:t>80–85 °C</w:t>
            </w:r>
          </w:p>
        </w:tc>
      </w:tr>
      <w:tr>
        <w:tc>
          <w:tcPr>
            <w:tcW w:type="dxa" w:w="2494"/>
          </w:tcPr>
          <w:p>
            <w:r/>
            <w:r>
              <w:rPr>
                <w:rFonts w:ascii="Arial" w:hAnsi="Arial"/>
                <w:sz w:val="19"/>
              </w:rPr>
              <w:t>Dashboard in an Indian summer</w:t>
            </w:r>
          </w:p>
        </w:tc>
        <w:tc>
          <w:tcPr>
            <w:tcW w:type="dxa" w:w="3005"/>
          </w:tcPr>
          <w:p>
            <w:r/>
            <w:r>
              <w:rPr>
                <w:rFonts w:ascii="Arial" w:hAnsi="Arial"/>
                <w:sz w:val="19"/>
              </w:rPr>
              <w:t>70–80 °C — sags over a few hot afternoons</w:t>
            </w:r>
          </w:p>
        </w:tc>
        <w:tc>
          <w:tcPr>
            <w:tcW w:type="dxa" w:w="3231"/>
          </w:tcPr>
          <w:p>
            <w:r/>
            <w:r>
              <w:rPr>
                <w:rFonts w:ascii="Arial" w:hAnsi="Arial"/>
                <w:sz w:val="19"/>
              </w:rPr>
              <w:t>marginal, but it survives</w:t>
            </w:r>
          </w:p>
        </w:tc>
      </w:tr>
      <w:tr>
        <w:tc>
          <w:tcPr>
            <w:tcW w:type="dxa" w:w="2494"/>
          </w:tcPr>
          <w:p>
            <w:r/>
            <w:r>
              <w:rPr>
                <w:rFonts w:ascii="Arial" w:hAnsi="Arial"/>
                <w:sz w:val="19"/>
              </w:rPr>
              <w:t>Use it when</w:t>
            </w:r>
          </w:p>
        </w:tc>
        <w:tc>
          <w:tcPr>
            <w:tcW w:type="dxa" w:w="3005"/>
          </w:tcPr>
          <w:p>
            <w:r/>
            <w:r>
              <w:rPr>
                <w:rFonts w:ascii="Arial" w:hAnsi="Arial"/>
                <w:sz w:val="19"/>
              </w:rPr>
              <w:t>the plate lives indoors or in shade</w:t>
            </w:r>
          </w:p>
        </w:tc>
        <w:tc>
          <w:tcPr>
            <w:tcW w:type="dxa" w:w="3231"/>
          </w:tcPr>
          <w:p>
            <w:r/>
            <w:r>
              <w:rPr>
                <w:rFonts w:ascii="Arial" w:hAnsi="Arial"/>
                <w:sz w:val="19"/>
              </w:rPr>
              <w:t>the plate lives in the car</w:t>
            </w:r>
          </w:p>
        </w:tc>
      </w:tr>
    </w:tbl>
    <w:p>
      <w:pPr>
        <w:spacing w:after="40"/>
      </w:pPr>
    </w:p>
    <w:p>
      <w:r>
        <w:rPr>
          <w:b w:val="0"/>
          <w:i w:val="0"/>
        </w:rPr>
        <w:t>ASA would settle the argument, but an A1 mini cannot print it — it is an open-frame machine with an 80 °C bed, and ASA wants 90–110 °C. So the default is PETG, and the glue-wash step in section 5 is what buys back the ink adhesion.</w:t>
      </w:r>
    </w:p>
    <w:p>
      <w:pPr>
        <w:pStyle w:val="Heading2"/>
      </w:pPr>
      <w:r>
        <w:t>Engraved, not raised</w:t>
      </w:r>
    </w:p>
    <w:p>
      <w:r>
        <w:rPr>
          <w:b w:val="0"/>
          <w:i w:val="0"/>
        </w:rPr>
        <w:t>A groove has two properties a raised ridge does not. Its rim acts as a paint dam, so you can flood the groove and wipe the face clean without the ink wandering. And its floor is a horizontal top surface, which means the slicer can iron it flat and seal the layer lines — the paths ink would otherwise creep along. Vertical groove walls also mean no layer stair-stepping, so the digit outline is exactly as sharp as the model.</w:t>
      </w:r>
    </w:p>
    <w:p>
      <w:r>
        <w:rPr>
          <w:b w:val="0"/>
          <w:i w:val="0"/>
        </w:rPr>
        <w:t>Raised digits are still available in both the generator and the OpenSCAD file. They suit a chisel-tip pen laid almost flat and wiped across the tops, but the edge is less forgiving.</w:t>
      </w:r>
    </w:p>
    <w:p>
      <w:pPr>
        <w:pStyle w:val="Heading1"/>
      </w:pPr>
      <w:r>
        <w:t>3. What you get</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1814"/>
            <w:shd w:val="clear" w:fill="EEF3F1"/>
          </w:tcPr>
          <w:p>
            <w:r/>
            <w:r>
              <w:rPr>
                <w:rFonts w:ascii="Arial" w:hAnsi="Arial"/>
                <w:b/>
                <w:sz w:val="19"/>
              </w:rPr>
              <w:t>Part</w:t>
            </w:r>
          </w:p>
        </w:tc>
        <w:tc>
          <w:tcPr>
            <w:tcW w:type="dxa" w:w="1814"/>
            <w:shd w:val="clear" w:fill="EEF3F1"/>
          </w:tcPr>
          <w:p>
            <w:r/>
            <w:r>
              <w:rPr>
                <w:rFonts w:ascii="Arial" w:hAnsi="Arial"/>
                <w:b/>
                <w:sz w:val="19"/>
              </w:rPr>
              <w:t>Size (mm)</w:t>
            </w:r>
          </w:p>
        </w:tc>
        <w:tc>
          <w:tcPr>
            <w:tcW w:type="dxa" w:w="1247"/>
            <w:shd w:val="clear" w:fill="EEF3F1"/>
          </w:tcPr>
          <w:p>
            <w:r/>
            <w:r>
              <w:rPr>
                <w:rFonts w:ascii="Arial" w:hAnsi="Arial"/>
                <w:b/>
                <w:sz w:val="19"/>
              </w:rPr>
              <w:t>Volume</w:t>
            </w:r>
          </w:p>
        </w:tc>
        <w:tc>
          <w:tcPr>
            <w:tcW w:type="dxa" w:w="1361"/>
            <w:shd w:val="clear" w:fill="EEF3F1"/>
          </w:tcPr>
          <w:p>
            <w:r/>
            <w:r>
              <w:rPr>
                <w:rFonts w:ascii="Arial" w:hAnsi="Arial"/>
                <w:b/>
                <w:sz w:val="19"/>
              </w:rPr>
              <w:t>Print once?</w:t>
            </w:r>
          </w:p>
        </w:tc>
        <w:tc>
          <w:tcPr>
            <w:tcW w:type="dxa" w:w="2494"/>
            <w:shd w:val="clear" w:fill="EEF3F1"/>
          </w:tcPr>
          <w:p>
            <w:r/>
            <w:r>
              <w:rPr>
                <w:rFonts w:ascii="Arial" w:hAnsi="Arial"/>
                <w:b/>
                <w:sz w:val="19"/>
              </w:rPr>
              <w:t>Notes</w:t>
            </w:r>
          </w:p>
        </w:tc>
      </w:tr>
      <w:tr>
        <w:tc>
          <w:tcPr>
            <w:tcW w:type="dxa" w:w="1814"/>
          </w:tcPr>
          <w:p>
            <w:r/>
            <w:r>
              <w:rPr>
                <w:rFonts w:ascii="Arial" w:hAnsi="Arial"/>
                <w:sz w:val="19"/>
              </w:rPr>
              <w:t>Number panel</w:t>
            </w:r>
          </w:p>
        </w:tc>
        <w:tc>
          <w:tcPr>
            <w:tcW w:type="dxa" w:w="1814"/>
          </w:tcPr>
          <w:p>
            <w:r/>
            <w:r>
              <w:rPr>
                <w:rFonts w:ascii="Arial" w:hAnsi="Arial"/>
                <w:sz w:val="19"/>
              </w:rPr>
              <w:t>158 × 30 × 3</w:t>
            </w:r>
          </w:p>
        </w:tc>
        <w:tc>
          <w:tcPr>
            <w:tcW w:type="dxa" w:w="1247"/>
          </w:tcPr>
          <w:p>
            <w:r/>
            <w:r>
              <w:rPr>
                <w:rFonts w:ascii="Arial" w:hAnsi="Arial"/>
                <w:sz w:val="19"/>
              </w:rPr>
              <w:t>13.6 cm³</w:t>
            </w:r>
          </w:p>
        </w:tc>
        <w:tc>
          <w:tcPr>
            <w:tcW w:type="dxa" w:w="1361"/>
          </w:tcPr>
          <w:p>
            <w:r/>
            <w:r>
              <w:rPr>
                <w:rFonts w:ascii="Arial" w:hAnsi="Arial"/>
                <w:sz w:val="19"/>
              </w:rPr>
              <w:t>per number</w:t>
            </w:r>
          </w:p>
        </w:tc>
        <w:tc>
          <w:tcPr>
            <w:tcW w:type="dxa" w:w="2494"/>
          </w:tcPr>
          <w:p>
            <w:r/>
            <w:r>
              <w:rPr>
                <w:rFonts w:ascii="Arial" w:hAnsi="Arial"/>
                <w:sz w:val="19"/>
              </w:rPr>
              <w:t>engraved digits, prints face up</w:t>
            </w:r>
          </w:p>
        </w:tc>
      </w:tr>
      <w:tr>
        <w:tc>
          <w:tcPr>
            <w:tcW w:type="dxa" w:w="1814"/>
          </w:tcPr>
          <w:p>
            <w:r/>
            <w:r>
              <w:rPr>
                <w:rFonts w:ascii="Arial" w:hAnsi="Arial"/>
                <w:sz w:val="19"/>
              </w:rPr>
              <w:t>Easel</w:t>
            </w:r>
          </w:p>
        </w:tc>
        <w:tc>
          <w:tcPr>
            <w:tcW w:type="dxa" w:w="1814"/>
          </w:tcPr>
          <w:p>
            <w:r/>
            <w:r>
              <w:rPr>
                <w:rFonts w:ascii="Arial" w:hAnsi="Arial"/>
                <w:sz w:val="19"/>
              </w:rPr>
              <w:t>167 × 28 × 32</w:t>
            </w:r>
          </w:p>
        </w:tc>
        <w:tc>
          <w:tcPr>
            <w:tcW w:type="dxa" w:w="1247"/>
          </w:tcPr>
          <w:p>
            <w:r/>
            <w:r>
              <w:rPr>
                <w:rFonts w:ascii="Arial" w:hAnsi="Arial"/>
                <w:sz w:val="19"/>
              </w:rPr>
              <w:t>17.4 cm³</w:t>
            </w:r>
          </w:p>
        </w:tc>
        <w:tc>
          <w:tcPr>
            <w:tcW w:type="dxa" w:w="1361"/>
          </w:tcPr>
          <w:p>
            <w:r/>
            <w:r>
              <w:rPr>
                <w:rFonts w:ascii="Arial" w:hAnsi="Arial"/>
                <w:sz w:val="19"/>
              </w:rPr>
              <w:t>yes, reusable</w:t>
            </w:r>
          </w:p>
        </w:tc>
        <w:tc>
          <w:tcPr>
            <w:tcW w:type="dxa" w:w="2494"/>
          </w:tcPr>
          <w:p>
            <w:r/>
            <w:r>
              <w:rPr>
                <w:rFonts w:ascii="Arial" w:hAnsi="Arial"/>
                <w:sz w:val="19"/>
              </w:rPr>
              <w:t>prints standing, 20° overhang, no supports</w:t>
            </w:r>
          </w:p>
        </w:tc>
      </w:tr>
      <w:tr>
        <w:tc>
          <w:tcPr>
            <w:tcW w:type="dxa" w:w="1814"/>
          </w:tcPr>
          <w:p>
            <w:r/>
            <w:r>
              <w:rPr>
                <w:rFonts w:ascii="Arial" w:hAnsi="Arial"/>
                <w:sz w:val="19"/>
              </w:rPr>
              <w:t>Pen test coupon</w:t>
            </w:r>
          </w:p>
        </w:tc>
        <w:tc>
          <w:tcPr>
            <w:tcW w:type="dxa" w:w="1814"/>
          </w:tcPr>
          <w:p>
            <w:r/>
            <w:r>
              <w:rPr>
                <w:rFonts w:ascii="Arial" w:hAnsi="Arial"/>
                <w:sz w:val="19"/>
              </w:rPr>
              <w:t>164 × 23 × 3.3</w:t>
            </w:r>
          </w:p>
        </w:tc>
        <w:tc>
          <w:tcPr>
            <w:tcW w:type="dxa" w:w="1247"/>
          </w:tcPr>
          <w:p>
            <w:r/>
            <w:r>
              <w:rPr>
                <w:rFonts w:ascii="Arial" w:hAnsi="Arial"/>
                <w:sz w:val="19"/>
              </w:rPr>
              <w:t>7.9 cm³</w:t>
            </w:r>
          </w:p>
        </w:tc>
        <w:tc>
          <w:tcPr>
            <w:tcW w:type="dxa" w:w="1361"/>
          </w:tcPr>
          <w:p>
            <w:r/>
            <w:r>
              <w:rPr>
                <w:rFonts w:ascii="Arial" w:hAnsi="Arial"/>
                <w:sz w:val="19"/>
              </w:rPr>
              <w:t>once</w:t>
            </w:r>
          </w:p>
        </w:tc>
        <w:tc>
          <w:tcPr>
            <w:tcW w:type="dxa" w:w="2494"/>
          </w:tcPr>
          <w:p>
            <w:r/>
            <w:r>
              <w:rPr>
                <w:rFonts w:ascii="Arial" w:hAnsi="Arial"/>
                <w:sz w:val="19"/>
              </w:rPr>
              <w:t>six combinations in one short print</w:t>
            </w:r>
          </w:p>
        </w:tc>
      </w:tr>
    </w:tbl>
    <w:p>
      <w:pPr>
        <w:spacing w:after="40"/>
      </w:pPr>
    </w:p>
    <w:p>
      <w:r>
        <w:rPr>
          <w:b w:val="0"/>
          <w:i w:val="0"/>
        </w:rPr>
        <w:t>Volumes are the solid model volume. Actual filament use is lower — a 3 mm plate is nearly all walls and skins, so budget roughly 11 g of panel and 7 g of easel at 15 % infill.</w:t>
      </w:r>
    </w:p>
    <w:p>
      <w:pPr>
        <w:spacing w:before="120" w:after="60"/>
        <w:jc w:val="center"/>
      </w:pPr>
      <w:r>
        <w:drawing>
          <wp:inline xmlns:a="http://schemas.openxmlformats.org/drawingml/2006/main" xmlns:pic="http://schemas.openxmlformats.org/drawingml/2006/picture">
            <wp:extent cx="5256000" cy="2715600"/>
            <wp:docPr id="2" name="Picture 2"/>
            <wp:cNvGraphicFramePr>
              <a:graphicFrameLocks noChangeAspect="1"/>
            </wp:cNvGraphicFramePr>
            <a:graphic>
              <a:graphicData uri="http://schemas.openxmlformats.org/drawingml/2006/picture">
                <pic:pic>
                  <pic:nvPicPr>
                    <pic:cNvPr id="0" name="detail.png"/>
                    <pic:cNvPicPr/>
                  </pic:nvPicPr>
                  <pic:blipFill>
                    <a:blip r:embed="rId10"/>
                    <a:stretch>
                      <a:fillRect/>
                    </a:stretch>
                  </pic:blipFill>
                  <pic:spPr>
                    <a:xfrm>
                      <a:off x="0" y="0"/>
                      <a:ext cx="5256000" cy="2715600"/>
                    </a:xfrm>
                    <a:prstGeom prst="rect"/>
                  </pic:spPr>
                </pic:pic>
              </a:graphicData>
            </a:graphic>
          </wp:inline>
        </w:drawing>
      </w:r>
    </w:p>
    <w:p>
      <w:pPr>
        <w:spacing w:after="240"/>
        <w:jc w:val="center"/>
      </w:pPr>
      <w:r>
        <w:rPr>
          <w:i/>
          <w:color w:val="5A636E"/>
          <w:sz w:val="18"/>
        </w:rPr>
        <w:t>The groove at 0.6 mm deep, filled with a paint pen. The rim does the masking.</w:t>
      </w:r>
    </w:p>
    <w:p>
      <w:pPr>
        <w:pStyle w:val="Heading2"/>
      </w:pPr>
      <w:r>
        <w:t>4. Printing</w:t>
      </w:r>
    </w:p>
    <w:p>
      <w:r>
        <w:rPr>
          <w:b w:val="0"/>
          <w:i/>
          <w:color w:val="5A636E"/>
          <w:sz w:val="19"/>
        </w:rPr>
        <w:t>Bambu Studio names; OrcaSlicer uses the same ones.</w:t>
      </w:r>
    </w:p>
    <w:tbl>
      <w:tblPr>
        <w:tblStyle w:val="TableGrid"/>
        <w:tblW w:type="auto" w:w="0"/>
        <w:jc w:val="center"/>
        <w:tblLook w:firstColumn="1" w:firstRow="1" w:lastColumn="0" w:lastRow="0" w:noHBand="0" w:noVBand="1" w:val="04A0"/>
      </w:tblPr>
      <w:tblGrid>
        <w:gridCol w:w="3173"/>
        <w:gridCol w:w="3173"/>
        <w:gridCol w:w="3173"/>
      </w:tblGrid>
      <w:tr>
        <w:tc>
          <w:tcPr>
            <w:tcW w:type="dxa" w:w="2608"/>
            <w:shd w:val="clear" w:fill="EEF3F1"/>
          </w:tcPr>
          <w:p>
            <w:r/>
            <w:r>
              <w:rPr>
                <w:rFonts w:ascii="Arial" w:hAnsi="Arial"/>
                <w:b/>
                <w:sz w:val="19"/>
              </w:rPr>
              <w:t>Setting</w:t>
            </w:r>
          </w:p>
        </w:tc>
        <w:tc>
          <w:tcPr>
            <w:tcW w:type="dxa" w:w="2268"/>
            <w:shd w:val="clear" w:fill="EEF3F1"/>
          </w:tcPr>
          <w:p>
            <w:r/>
            <w:r>
              <w:rPr>
                <w:rFonts w:ascii="Arial" w:hAnsi="Arial"/>
                <w:b/>
                <w:sz w:val="19"/>
              </w:rPr>
              <w:t>Value</w:t>
            </w:r>
          </w:p>
        </w:tc>
        <w:tc>
          <w:tcPr>
            <w:tcW w:type="dxa" w:w="3855"/>
            <w:shd w:val="clear" w:fill="EEF3F1"/>
          </w:tcPr>
          <w:p>
            <w:r/>
            <w:r>
              <w:rPr>
                <w:rFonts w:ascii="Arial" w:hAnsi="Arial"/>
                <w:b/>
                <w:sz w:val="19"/>
              </w:rPr>
              <w:t>Why</w:t>
            </w:r>
          </w:p>
        </w:tc>
      </w:tr>
      <w:tr>
        <w:tc>
          <w:tcPr>
            <w:tcW w:type="dxa" w:w="2608"/>
          </w:tcPr>
          <w:p>
            <w:r/>
            <w:r>
              <w:rPr>
                <w:rFonts w:ascii="Arial" w:hAnsi="Arial"/>
                <w:sz w:val="19"/>
              </w:rPr>
              <w:t>Layer height</w:t>
            </w:r>
          </w:p>
        </w:tc>
        <w:tc>
          <w:tcPr>
            <w:tcW w:type="dxa" w:w="2268"/>
          </w:tcPr>
          <w:p>
            <w:r/>
            <w:r>
              <w:rPr>
                <w:rFonts w:ascii="Arial" w:hAnsi="Arial"/>
                <w:sz w:val="19"/>
              </w:rPr>
              <w:t>0.20 mm</w:t>
            </w:r>
          </w:p>
        </w:tc>
        <w:tc>
          <w:tcPr>
            <w:tcW w:type="dxa" w:w="3855"/>
          </w:tcPr>
          <w:p>
            <w:r/>
            <w:r>
              <w:rPr>
                <w:rFonts w:ascii="Arial" w:hAnsi="Arial"/>
                <w:sz w:val="19"/>
              </w:rPr>
              <w:t>0.6 mm groove = exactly three layers</w:t>
            </w:r>
          </w:p>
        </w:tc>
      </w:tr>
      <w:tr>
        <w:tc>
          <w:tcPr>
            <w:tcW w:type="dxa" w:w="2608"/>
          </w:tcPr>
          <w:p>
            <w:r/>
            <w:r>
              <w:rPr>
                <w:rFonts w:ascii="Arial" w:hAnsi="Arial"/>
                <w:sz w:val="19"/>
              </w:rPr>
              <w:t>Walls / top / bottom</w:t>
            </w:r>
          </w:p>
        </w:tc>
        <w:tc>
          <w:tcPr>
            <w:tcW w:type="dxa" w:w="2268"/>
          </w:tcPr>
          <w:p>
            <w:r/>
            <w:r>
              <w:rPr>
                <w:rFonts w:ascii="Arial" w:hAnsi="Arial"/>
                <w:sz w:val="19"/>
              </w:rPr>
              <w:t>4 / 5 / 4</w:t>
            </w:r>
          </w:p>
        </w:tc>
        <w:tc>
          <w:tcPr>
            <w:tcW w:type="dxa" w:w="3855"/>
          </w:tcPr>
          <w:p>
            <w:r/>
            <w:r>
              <w:rPr>
                <w:rFonts w:ascii="Arial" w:hAnsi="Arial"/>
                <w:sz w:val="19"/>
              </w:rPr>
              <w:t>the groove floor must be a solid skin</w:t>
            </w:r>
          </w:p>
        </w:tc>
      </w:tr>
      <w:tr>
        <w:tc>
          <w:tcPr>
            <w:tcW w:type="dxa" w:w="2608"/>
          </w:tcPr>
          <w:p>
            <w:r/>
            <w:r>
              <w:rPr>
                <w:rFonts w:ascii="Arial" w:hAnsi="Arial"/>
                <w:sz w:val="19"/>
              </w:rPr>
              <w:t>Infill</w:t>
            </w:r>
          </w:p>
        </w:tc>
        <w:tc>
          <w:tcPr>
            <w:tcW w:type="dxa" w:w="2268"/>
          </w:tcPr>
          <w:p>
            <w:r/>
            <w:r>
              <w:rPr>
                <w:rFonts w:ascii="Arial" w:hAnsi="Arial"/>
                <w:sz w:val="19"/>
              </w:rPr>
              <w:t>15 % gyroid</w:t>
            </w:r>
          </w:p>
        </w:tc>
        <w:tc>
          <w:tcPr>
            <w:tcW w:type="dxa" w:w="3855"/>
          </w:tcPr>
          <w:p>
            <w:r/>
            <w:r>
              <w:rPr>
                <w:rFonts w:ascii="Arial" w:hAnsi="Arial"/>
                <w:sz w:val="19"/>
              </w:rPr>
            </w:r>
          </w:p>
        </w:tc>
      </w:tr>
      <w:tr>
        <w:tc>
          <w:tcPr>
            <w:tcW w:type="dxa" w:w="2608"/>
          </w:tcPr>
          <w:p>
            <w:r/>
            <w:r>
              <w:rPr>
                <w:rFonts w:ascii="Arial" w:hAnsi="Arial"/>
                <w:sz w:val="19"/>
              </w:rPr>
              <w:t>Elephant-foot compensation</w:t>
            </w:r>
          </w:p>
        </w:tc>
        <w:tc>
          <w:tcPr>
            <w:tcW w:type="dxa" w:w="2268"/>
          </w:tcPr>
          <w:p>
            <w:r/>
            <w:r>
              <w:rPr>
                <w:rFonts w:ascii="Arial" w:hAnsi="Arial"/>
                <w:sz w:val="19"/>
              </w:rPr>
              <w:t>0.15 mm</w:t>
            </w:r>
          </w:p>
        </w:tc>
        <w:tc>
          <w:tcPr>
            <w:tcW w:type="dxa" w:w="3855"/>
          </w:tcPr>
          <w:p>
            <w:r/>
            <w:r>
              <w:rPr>
                <w:rFonts w:ascii="Arial" w:hAnsi="Arial"/>
                <w:sz w:val="19"/>
              </w:rPr>
              <w:t>otherwise the panel edge fights the easel slot</w:t>
            </w:r>
          </w:p>
        </w:tc>
      </w:tr>
      <w:tr>
        <w:tc>
          <w:tcPr>
            <w:tcW w:type="dxa" w:w="2608"/>
          </w:tcPr>
          <w:p>
            <w:r/>
            <w:r>
              <w:rPr>
                <w:rFonts w:ascii="Arial" w:hAnsi="Arial"/>
                <w:sz w:val="19"/>
              </w:rPr>
              <w:t>Ironing type</w:t>
            </w:r>
          </w:p>
        </w:tc>
        <w:tc>
          <w:tcPr>
            <w:tcW w:type="dxa" w:w="2268"/>
          </w:tcPr>
          <w:p>
            <w:r/>
            <w:r>
              <w:rPr>
                <w:rFonts w:ascii="Arial" w:hAnsi="Arial"/>
                <w:sz w:val="19"/>
              </w:rPr>
              <w:t>All top surfaces</w:t>
            </w:r>
          </w:p>
        </w:tc>
        <w:tc>
          <w:tcPr>
            <w:tcW w:type="dxa" w:w="3855"/>
          </w:tcPr>
          <w:p>
            <w:r/>
            <w:r>
              <w:rPr>
                <w:rFonts w:ascii="Arial" w:hAnsi="Arial"/>
                <w:sz w:val="19"/>
              </w:rPr>
              <w:t>see the warning below</w:t>
            </w:r>
          </w:p>
        </w:tc>
      </w:tr>
      <w:tr>
        <w:tc>
          <w:tcPr>
            <w:tcW w:type="dxa" w:w="2608"/>
          </w:tcPr>
          <w:p>
            <w:r/>
            <w:r>
              <w:rPr>
                <w:rFonts w:ascii="Arial" w:hAnsi="Arial"/>
                <w:sz w:val="19"/>
              </w:rPr>
              <w:t>Ironing flow / spacing</w:t>
            </w:r>
          </w:p>
        </w:tc>
        <w:tc>
          <w:tcPr>
            <w:tcW w:type="dxa" w:w="2268"/>
          </w:tcPr>
          <w:p>
            <w:r/>
            <w:r>
              <w:rPr>
                <w:rFonts w:ascii="Arial" w:hAnsi="Arial"/>
                <w:sz w:val="19"/>
              </w:rPr>
              <w:t>10 % / 0.10 mm</w:t>
            </w:r>
          </w:p>
        </w:tc>
        <w:tc>
          <w:tcPr>
            <w:tcW w:type="dxa" w:w="3855"/>
          </w:tcPr>
          <w:p>
            <w:r/>
            <w:r>
              <w:rPr>
                <w:rFonts w:ascii="Arial" w:hAnsi="Arial"/>
                <w:sz w:val="19"/>
              </w:rPr>
              <w:t>closes the inter-layer grooves</w:t>
            </w:r>
          </w:p>
        </w:tc>
      </w:tr>
      <w:tr>
        <w:tc>
          <w:tcPr>
            <w:tcW w:type="dxa" w:w="2608"/>
          </w:tcPr>
          <w:p>
            <w:r/>
            <w:r>
              <w:rPr>
                <w:rFonts w:ascii="Arial" w:hAnsi="Arial"/>
                <w:sz w:val="19"/>
              </w:rPr>
              <w:t>Ironing speed / inset</w:t>
            </w:r>
          </w:p>
        </w:tc>
        <w:tc>
          <w:tcPr>
            <w:tcW w:type="dxa" w:w="2268"/>
          </w:tcPr>
          <w:p>
            <w:r/>
            <w:r>
              <w:rPr>
                <w:rFonts w:ascii="Arial" w:hAnsi="Arial"/>
                <w:sz w:val="19"/>
              </w:rPr>
              <w:t>30 mm/s / 0.2 mm</w:t>
            </w:r>
          </w:p>
        </w:tc>
        <w:tc>
          <w:tcPr>
            <w:tcW w:type="dxa" w:w="3855"/>
          </w:tcPr>
          <w:p>
            <w:r/>
            <w:r>
              <w:rPr>
                <w:rFonts w:ascii="Arial" w:hAnsi="Arial"/>
                <w:sz w:val="19"/>
              </w:rPr>
            </w:r>
          </w:p>
        </w:tc>
      </w:tr>
      <w:tr>
        <w:tc>
          <w:tcPr>
            <w:tcW w:type="dxa" w:w="2608"/>
          </w:tcPr>
          <w:p>
            <w:r/>
            <w:r>
              <w:rPr>
                <w:rFonts w:ascii="Arial" w:hAnsi="Arial"/>
                <w:sz w:val="19"/>
              </w:rPr>
              <w:t>Plate</w:t>
            </w:r>
          </w:p>
        </w:tc>
        <w:tc>
          <w:tcPr>
            <w:tcW w:type="dxa" w:w="2268"/>
          </w:tcPr>
          <w:p>
            <w:r/>
            <w:r>
              <w:rPr>
                <w:rFonts w:ascii="Arial" w:hAnsi="Arial"/>
                <w:sz w:val="19"/>
              </w:rPr>
              <w:t>textured PEI + glue (PETG)</w:t>
            </w:r>
          </w:p>
        </w:tc>
        <w:tc>
          <w:tcPr>
            <w:tcW w:type="dxa" w:w="3855"/>
          </w:tcPr>
          <w:p>
            <w:r/>
            <w:r>
              <w:rPr>
                <w:rFonts w:ascii="Arial" w:hAnsi="Arial"/>
                <w:sz w:val="19"/>
              </w:rPr>
              <w:t>PETG bonds to smooth PEI hard enough to tear it</w:t>
            </w:r>
          </w:p>
        </w:tc>
      </w:tr>
    </w:tbl>
    <w:p>
      <w:pPr>
        <w:spacing w:after="40"/>
      </w:pPr>
    </w:p>
    <w:p>
      <w:pPr>
        <w:spacing w:before="80"/>
      </w:pPr>
      <w:r>
        <w:rPr>
          <w:b/>
        </w:rPr>
        <w:t xml:space="preserve">The one setting people get wrong: </w:t>
      </w:r>
      <w:r>
        <w:t>ironing must be set to “All top surfaces”, not “Only topmost”. The groove floors sit 0.6 mm below the plate rim, so “topmost” irons the rim, skips all ten digits, and wastes the print.</w:t>
      </w:r>
    </w:p>
    <w:p>
      <w:pPr>
        <w:spacing w:before="120" w:after="60"/>
        <w:jc w:val="center"/>
      </w:pPr>
      <w:r>
        <w:drawing>
          <wp:inline xmlns:a="http://schemas.openxmlformats.org/drawingml/2006/main" xmlns:pic="http://schemas.openxmlformats.org/drawingml/2006/picture">
            <wp:extent cx="5544000" cy="2661120"/>
            <wp:docPr id="3" name="Picture 3"/>
            <wp:cNvGraphicFramePr>
              <a:graphicFrameLocks noChangeAspect="1"/>
            </wp:cNvGraphicFramePr>
            <a:graphic>
              <a:graphicData uri="http://schemas.openxmlformats.org/drawingml/2006/picture">
                <pic:pic>
                  <pic:nvPicPr>
                    <pic:cNvPr id="0" name="print-plate.png"/>
                    <pic:cNvPicPr/>
                  </pic:nvPicPr>
                  <pic:blipFill>
                    <a:blip r:embed="rId11"/>
                    <a:stretch>
                      <a:fillRect/>
                    </a:stretch>
                  </pic:blipFill>
                  <pic:spPr>
                    <a:xfrm>
                      <a:off x="0" y="0"/>
                      <a:ext cx="5544000" cy="2661120"/>
                    </a:xfrm>
                    <a:prstGeom prst="rect"/>
                  </pic:spPr>
                </pic:pic>
              </a:graphicData>
            </a:graphic>
          </wp:inline>
        </w:drawing>
      </w:r>
    </w:p>
    <w:p>
      <w:pPr>
        <w:spacing w:after="240"/>
        <w:jc w:val="center"/>
      </w:pPr>
      <w:r>
        <w:rPr>
          <w:i/>
          <w:color w:val="5A636E"/>
          <w:sz w:val="18"/>
        </w:rPr>
        <w:t>Both parts on the plate, as exported. The panel prints flat, the easel standing.</w:t>
      </w:r>
    </w:p>
    <w:p>
      <w:pPr>
        <w:pStyle w:val="Heading1"/>
      </w:pPr>
      <w:r>
        <w:t>5. Painting the number</w:t>
      </w:r>
    </w:p>
    <w:p>
      <w:r>
        <w:rPr>
          <w:b w:val="0"/>
          <w:i w:val="0"/>
        </w:rPr>
        <w:t>Ink wicking along layer lines is a real, documented effect and it is capillary, not sloppiness. The cheap fix that works is a diluted PVA wash in the groove before you flood it.</w:t>
      </w:r>
    </w:p>
    <w:p>
      <w:pPr>
        <w:pStyle w:val="ListBullet"/>
        <w:spacing w:after="60"/>
      </w:pPr>
      <w:r>
        <w:rPr>
          <w:b/>
        </w:rPr>
        <w:t xml:space="preserve">Wipe the face with 70 % IPA. </w:t>
      </w:r>
      <w:r>
        <w:t>Skin oil is the usual reason ink “doesn't stick”.</w:t>
      </w:r>
    </w:p>
    <w:p>
      <w:pPr>
        <w:pStyle w:val="ListBullet"/>
        <w:spacing w:after="60"/>
      </w:pPr>
      <w:r>
        <w:rPr>
          <w:b/>
        </w:rPr>
        <w:t xml:space="preserve">Brush a thin PVA or wood-glue wash into the grooves. </w:t>
      </w:r>
      <w:r>
        <w:t>Let it dry completely. This is the step that stops the creep.</w:t>
      </w:r>
    </w:p>
    <w:p>
      <w:pPr>
        <w:pStyle w:val="ListBullet"/>
        <w:spacing w:after="60"/>
      </w:pPr>
      <w:r>
        <w:rPr>
          <w:b/>
        </w:rPr>
        <w:t xml:space="preserve">Flood with an oil-based paint pen. </w:t>
      </w:r>
      <w:r>
        <w:t>Sharpie Oil-Based or Posca PC-5M. Overfill slightly; do not try to stay inside the lines.</w:t>
      </w:r>
    </w:p>
    <w:p>
      <w:pPr>
        <w:pStyle w:val="ListBullet"/>
        <w:spacing w:after="60"/>
      </w:pPr>
      <w:r>
        <w:rPr>
          <w:b/>
        </w:rPr>
        <w:t xml:space="preserve">Wipe the flat face while the ink is tacky. </w:t>
      </w:r>
      <w:r>
        <w:t>A barely damp cloth over a fingertip. The rim does the masking.</w:t>
      </w:r>
    </w:p>
    <w:p>
      <w:pPr>
        <w:pStyle w:val="ListBullet"/>
        <w:spacing w:after="60"/>
      </w:pPr>
      <w:r>
        <w:rPr>
          <w:b/>
        </w:rPr>
        <w:t xml:space="preserve">Cure 24 hours, then two thin matte UV clear coats. </w:t>
      </w:r>
      <w:r>
        <w:t>Matte, because gloss makes ironing marks visible.</w:t>
      </w:r>
    </w:p>
    <w:p>
      <w:pPr>
        <w:spacing w:before="40" w:after="200"/>
        <w:pBdr>
          <w:bottom w:val="single" w:sz="6" w:space="1" w:color="C9D1D9"/>
        </w:pBdr>
      </w:pPr>
    </w:p>
    <w:p>
      <w:pPr>
        <w:spacing w:before="120" w:after="60"/>
        <w:jc w:val="center"/>
      </w:pPr>
      <w:r>
        <w:drawing>
          <wp:inline xmlns:a="http://schemas.openxmlformats.org/drawingml/2006/main" xmlns:pic="http://schemas.openxmlformats.org/drawingml/2006/picture">
            <wp:extent cx="5400000" cy="1872000"/>
            <wp:docPr id="4" name="Picture 4"/>
            <wp:cNvGraphicFramePr>
              <a:graphicFrameLocks noChangeAspect="1"/>
            </wp:cNvGraphicFramePr>
            <a:graphic>
              <a:graphicData uri="http://schemas.openxmlformats.org/drawingml/2006/picture">
                <pic:pic>
                  <pic:nvPicPr>
                    <pic:cNvPr id="0" name="coupon.png"/>
                    <pic:cNvPicPr/>
                  </pic:nvPicPr>
                  <pic:blipFill>
                    <a:blip r:embed="rId12"/>
                    <a:stretch>
                      <a:fillRect/>
                    </a:stretch>
                  </pic:blipFill>
                  <pic:spPr>
                    <a:xfrm>
                      <a:off x="0" y="0"/>
                      <a:ext cx="5400000" cy="1872000"/>
                    </a:xfrm>
                    <a:prstGeom prst="rect"/>
                  </pic:spPr>
                </pic:pic>
              </a:graphicData>
            </a:graphic>
          </wp:inline>
        </w:drawing>
      </w:r>
    </w:p>
    <w:p>
      <w:pPr>
        <w:spacing w:after="240"/>
        <w:jc w:val="center"/>
      </w:pPr>
      <w:r>
        <w:rPr>
          <w:i/>
          <w:color w:val="5A636E"/>
          <w:sz w:val="18"/>
        </w:rPr>
        <w:t>The pen test coupon: both relief styles at 0.4, 0.6 and 0.9 mm. Print this first.</w:t>
      </w:r>
    </w:p>
    <w:p>
      <w:pPr>
        <w:pStyle w:val="Heading1"/>
      </w:pPr>
      <w:r>
        <w:t>6. The OpenSCAD file</w:t>
      </w:r>
    </w:p>
    <w:p>
      <w:r>
        <w:rPr>
          <w:b w:val="0"/>
          <w:i w:val="0"/>
        </w:rPr>
        <w:t>openscad/plate_forge.scad is written for MakerWorld's Parametric Model Maker, not just for the desktop. It uses Customizer-style parameters with dropdowns at the top of the file, exposes the printable output through mw_plate_1() and an assembled preview through mw_assembly_view(), and pulls in no external libraries.</w:t>
      </w:r>
    </w:p>
    <w:tbl>
      <w:tblPr>
        <w:tblStyle w:val="TableGrid"/>
        <w:tblW w:type="auto" w:w="0"/>
        <w:jc w:val="center"/>
        <w:tblLook w:firstColumn="1" w:firstRow="1" w:lastColumn="0" w:lastRow="0" w:noHBand="0" w:noVBand="1" w:val="04A0"/>
      </w:tblPr>
      <w:tblGrid>
        <w:gridCol w:w="3173"/>
        <w:gridCol w:w="3173"/>
        <w:gridCol w:w="3173"/>
      </w:tblGrid>
      <w:tr>
        <w:tc>
          <w:tcPr>
            <w:tcW w:type="dxa" w:w="2381"/>
            <w:shd w:val="clear" w:fill="EEF3F1"/>
          </w:tcPr>
          <w:p>
            <w:r/>
            <w:r>
              <w:rPr>
                <w:rFonts w:ascii="Arial" w:hAnsi="Arial"/>
                <w:b/>
                <w:sz w:val="19"/>
              </w:rPr>
              <w:t>Parameter</w:t>
            </w:r>
          </w:p>
        </w:tc>
        <w:tc>
          <w:tcPr>
            <w:tcW w:type="dxa" w:w="1928"/>
            <w:shd w:val="clear" w:fill="EEF3F1"/>
          </w:tcPr>
          <w:p>
            <w:r/>
            <w:r>
              <w:rPr>
                <w:rFonts w:ascii="Arial" w:hAnsi="Arial"/>
                <w:b/>
                <w:sz w:val="19"/>
              </w:rPr>
              <w:t>Default</w:t>
            </w:r>
          </w:p>
        </w:tc>
        <w:tc>
          <w:tcPr>
            <w:tcW w:type="dxa" w:w="4422"/>
            <w:shd w:val="clear" w:fill="EEF3F1"/>
          </w:tcPr>
          <w:p>
            <w:r/>
            <w:r>
              <w:rPr>
                <w:rFonts w:ascii="Arial" w:hAnsi="Arial"/>
                <w:b/>
                <w:sz w:val="19"/>
              </w:rPr>
              <w:t>What it does</w:t>
            </w:r>
          </w:p>
        </w:tc>
      </w:tr>
      <w:tr>
        <w:tc>
          <w:tcPr>
            <w:tcW w:type="dxa" w:w="2381"/>
          </w:tcPr>
          <w:p>
            <w:r/>
            <w:r>
              <w:rPr>
                <w:rFonts w:ascii="Arial" w:hAnsi="Arial"/>
                <w:sz w:val="19"/>
              </w:rPr>
              <w:t>number</w:t>
            </w:r>
          </w:p>
        </w:tc>
        <w:tc>
          <w:tcPr>
            <w:tcW w:type="dxa" w:w="1928"/>
          </w:tcPr>
          <w:p>
            <w:r/>
            <w:r>
              <w:rPr>
                <w:rFonts w:ascii="Arial" w:hAnsi="Arial"/>
                <w:sz w:val="19"/>
              </w:rPr>
              <w:t>98765 43210</w:t>
            </w:r>
          </w:p>
        </w:tc>
        <w:tc>
          <w:tcPr>
            <w:tcW w:type="dxa" w:w="4422"/>
          </w:tcPr>
          <w:p>
            <w:r/>
            <w:r>
              <w:rPr>
                <w:rFonts w:ascii="Arial" w:hAnsi="Arial"/>
                <w:sz w:val="19"/>
              </w:rPr>
              <w:t>up to 14 characters; digits, space, + - .</w:t>
            </w:r>
          </w:p>
        </w:tc>
      </w:tr>
      <w:tr>
        <w:tc>
          <w:tcPr>
            <w:tcW w:type="dxa" w:w="2381"/>
          </w:tcPr>
          <w:p>
            <w:r/>
            <w:r>
              <w:rPr>
                <w:rFonts w:ascii="Arial" w:hAnsi="Arial"/>
                <w:sz w:val="19"/>
              </w:rPr>
              <w:t>mode</w:t>
            </w:r>
          </w:p>
        </w:tc>
        <w:tc>
          <w:tcPr>
            <w:tcW w:type="dxa" w:w="1928"/>
          </w:tcPr>
          <w:p>
            <w:r/>
            <w:r>
              <w:rPr>
                <w:rFonts w:ascii="Arial" w:hAnsi="Arial"/>
                <w:sz w:val="19"/>
              </w:rPr>
              <w:t>both</w:t>
            </w:r>
          </w:p>
        </w:tc>
        <w:tc>
          <w:tcPr>
            <w:tcW w:type="dxa" w:w="4422"/>
          </w:tcPr>
          <w:p>
            <w:r/>
            <w:r>
              <w:rPr>
                <w:rFonts w:ascii="Arial" w:hAnsi="Arial"/>
                <w:sz w:val="19"/>
              </w:rPr>
              <w:t>panel + easel, panel only, easel only, or coupon</w:t>
            </w:r>
          </w:p>
        </w:tc>
      </w:tr>
      <w:tr>
        <w:tc>
          <w:tcPr>
            <w:tcW w:type="dxa" w:w="2381"/>
          </w:tcPr>
          <w:p>
            <w:r/>
            <w:r>
              <w:rPr>
                <w:rFonts w:ascii="Arial" w:hAnsi="Arial"/>
                <w:sz w:val="19"/>
              </w:rPr>
              <w:t>lettering</w:t>
            </w:r>
          </w:p>
        </w:tc>
        <w:tc>
          <w:tcPr>
            <w:tcW w:type="dxa" w:w="1928"/>
          </w:tcPr>
          <w:p>
            <w:r/>
            <w:r>
              <w:rPr>
                <w:rFonts w:ascii="Arial" w:hAnsi="Arial"/>
                <w:sz w:val="19"/>
              </w:rPr>
              <w:t>engraved</w:t>
            </w:r>
          </w:p>
        </w:tc>
        <w:tc>
          <w:tcPr>
            <w:tcW w:type="dxa" w:w="4422"/>
          </w:tcPr>
          <w:p>
            <w:r/>
            <w:r>
              <w:rPr>
                <w:rFonts w:ascii="Arial" w:hAnsi="Arial"/>
                <w:sz w:val="19"/>
              </w:rPr>
              <w:t>engraved or raised</w:t>
            </w:r>
          </w:p>
        </w:tc>
      </w:tr>
      <w:tr>
        <w:tc>
          <w:tcPr>
            <w:tcW w:type="dxa" w:w="2381"/>
          </w:tcPr>
          <w:p>
            <w:r/>
            <w:r>
              <w:rPr>
                <w:rFonts w:ascii="Arial" w:hAnsi="Arial"/>
                <w:sz w:val="19"/>
              </w:rPr>
              <w:t>relief_depth</w:t>
            </w:r>
          </w:p>
        </w:tc>
        <w:tc>
          <w:tcPr>
            <w:tcW w:type="dxa" w:w="1928"/>
          </w:tcPr>
          <w:p>
            <w:r/>
            <w:r>
              <w:rPr>
                <w:rFonts w:ascii="Arial" w:hAnsi="Arial"/>
                <w:sz w:val="19"/>
              </w:rPr>
              <w:t>0.6 mm</w:t>
            </w:r>
          </w:p>
        </w:tc>
        <w:tc>
          <w:tcPr>
            <w:tcW w:type="dxa" w:w="4422"/>
          </w:tcPr>
          <w:p>
            <w:r/>
            <w:r>
              <w:rPr>
                <w:rFonts w:ascii="Arial" w:hAnsi="Arial"/>
                <w:sz w:val="19"/>
              </w:rPr>
              <w:t>groove depth / ridge height</w:t>
            </w:r>
          </w:p>
        </w:tc>
      </w:tr>
      <w:tr>
        <w:tc>
          <w:tcPr>
            <w:tcW w:type="dxa" w:w="2381"/>
          </w:tcPr>
          <w:p>
            <w:r/>
            <w:r>
              <w:rPr>
                <w:rFonts w:ascii="Arial" w:hAnsi="Arial"/>
                <w:sz w:val="19"/>
              </w:rPr>
              <w:t>digit_height</w:t>
            </w:r>
          </w:p>
        </w:tc>
        <w:tc>
          <w:tcPr>
            <w:tcW w:type="dxa" w:w="1928"/>
          </w:tcPr>
          <w:p>
            <w:r/>
            <w:r>
              <w:rPr>
                <w:rFonts w:ascii="Arial" w:hAnsi="Arial"/>
                <w:sz w:val="19"/>
              </w:rPr>
              <w:t>18 mm</w:t>
            </w:r>
          </w:p>
        </w:tc>
        <w:tc>
          <w:tcPr>
            <w:tcW w:type="dxa" w:w="4422"/>
          </w:tcPr>
          <w:p>
            <w:r/>
            <w:r>
              <w:rPr>
                <w:rFonts w:ascii="Arial" w:hAnsi="Arial"/>
                <w:sz w:val="19"/>
              </w:rPr>
              <w:t>cap height; shrinks automatically to fit the bed</w:t>
            </w:r>
          </w:p>
        </w:tc>
      </w:tr>
      <w:tr>
        <w:tc>
          <w:tcPr>
            <w:tcW w:type="dxa" w:w="2381"/>
          </w:tcPr>
          <w:p>
            <w:r/>
            <w:r>
              <w:rPr>
                <w:rFonts w:ascii="Arial" w:hAnsi="Arial"/>
                <w:sz w:val="19"/>
              </w:rPr>
              <w:t>stroke_ratio</w:t>
            </w:r>
          </w:p>
        </w:tc>
        <w:tc>
          <w:tcPr>
            <w:tcW w:type="dxa" w:w="1928"/>
          </w:tcPr>
          <w:p>
            <w:r/>
            <w:r>
              <w:rPr>
                <w:rFonts w:ascii="Arial" w:hAnsi="Arial"/>
                <w:sz w:val="19"/>
              </w:rPr>
              <w:t>0.13</w:t>
            </w:r>
          </w:p>
        </w:tc>
        <w:tc>
          <w:tcPr>
            <w:tcW w:type="dxa" w:w="4422"/>
          </w:tcPr>
          <w:p>
            <w:r/>
            <w:r>
              <w:rPr>
                <w:rFonts w:ascii="Arial" w:hAnsi="Arial"/>
                <w:sz w:val="19"/>
              </w:rPr>
              <w:t>stroke as a fraction of digit height</w:t>
            </w:r>
          </w:p>
        </w:tc>
      </w:tr>
      <w:tr>
        <w:tc>
          <w:tcPr>
            <w:tcW w:type="dxa" w:w="2381"/>
          </w:tcPr>
          <w:p>
            <w:r/>
            <w:r>
              <w:rPr>
                <w:rFonts w:ascii="Arial" w:hAnsi="Arial"/>
                <w:sz w:val="19"/>
              </w:rPr>
              <w:t>panel_thickness</w:t>
            </w:r>
          </w:p>
        </w:tc>
        <w:tc>
          <w:tcPr>
            <w:tcW w:type="dxa" w:w="1928"/>
          </w:tcPr>
          <w:p>
            <w:r/>
            <w:r>
              <w:rPr>
                <w:rFonts w:ascii="Arial" w:hAnsi="Arial"/>
                <w:sz w:val="19"/>
              </w:rPr>
              <w:t>3.0 mm</w:t>
            </w:r>
          </w:p>
        </w:tc>
        <w:tc>
          <w:tcPr>
            <w:tcW w:type="dxa" w:w="4422"/>
          </w:tcPr>
          <w:p>
            <w:r/>
            <w:r>
              <w:rPr>
                <w:rFonts w:ascii="Arial" w:hAnsi="Arial"/>
                <w:sz w:val="19"/>
              </w:rPr>
              <w:t>3 mm is the minimum for PETG on a dashboard</w:t>
            </w:r>
          </w:p>
        </w:tc>
      </w:tr>
      <w:tr>
        <w:tc>
          <w:tcPr>
            <w:tcW w:type="dxa" w:w="2381"/>
          </w:tcPr>
          <w:p>
            <w:r/>
            <w:r>
              <w:rPr>
                <w:rFonts w:ascii="Arial" w:hAnsi="Arial"/>
                <w:sz w:val="19"/>
              </w:rPr>
              <w:t>rake_deg</w:t>
            </w:r>
          </w:p>
        </w:tc>
        <w:tc>
          <w:tcPr>
            <w:tcW w:type="dxa" w:w="1928"/>
          </w:tcPr>
          <w:p>
            <w:r/>
            <w:r>
              <w:rPr>
                <w:rFonts w:ascii="Arial" w:hAnsi="Arial"/>
                <w:sz w:val="19"/>
              </w:rPr>
              <w:t>30°</w:t>
            </w:r>
          </w:p>
        </w:tc>
        <w:tc>
          <w:tcPr>
            <w:tcW w:type="dxa" w:w="4422"/>
          </w:tcPr>
          <w:p>
            <w:r/>
            <w:r>
              <w:rPr>
                <w:rFonts w:ascii="Arial" w:hAnsi="Arial"/>
                <w:sz w:val="19"/>
              </w:rPr>
              <w:t>easel tilt from vertical</w:t>
            </w:r>
          </w:p>
        </w:tc>
      </w:tr>
    </w:tbl>
    <w:p>
      <w:pPr>
        <w:spacing w:after="40"/>
      </w:pPr>
    </w:p>
    <w:p>
      <w:r>
        <w:rPr>
          <w:b w:val="0"/>
          <w:i w:val="0"/>
        </w:rPr>
        <w:t>The layout is a 7-segment skeleton with real gaps between every bar, because two bars that touch, share an edge, or meet at a single corner make a self-intersecting sketch, and OpenSCAD's difference() will quietly drop geometry rather than complain. Every segment is separated by exactly segment_gap.</w:t>
      </w:r>
    </w:p>
    <w:p>
      <w:pPr>
        <w:pStyle w:val="Heading1"/>
      </w:pPr>
      <w:r>
        <w:t>7. The web generator</w:t>
      </w:r>
    </w:p>
    <w:p>
      <w:r>
        <w:rPr>
          <w:b w:val="0"/>
          <w:i w:val="0"/>
        </w:rPr>
        <w:t>The same geometry exists as a browser tool at tumesh007.github.io/plate-forge. It takes a number, renders the plate live, and exports STLs — panel, easel, both on one plate, or the coupon. There is no build step and no CDN dependency; it runs from a static folder.</w:t>
      </w:r>
    </w:p>
    <w:p>
      <w:r>
        <w:rPr>
          <w:b w:val="0"/>
          <w:i w:val="0"/>
        </w:rPr>
        <w:t>The browser version builds the panel as a single closed manifold surface rather than two solids stacked, and its test suite asserts that every triangle edge is shared by exactly two triangles across twelve configurations. That check exists because an interior face sitting exactly on the groove floor can be read by a slicer as a filled cavity, which swallows the digits without any error message.</w:t>
      </w:r>
    </w:p>
    <w:p>
      <w:pPr>
        <w:spacing w:before="120" w:after="60"/>
        <w:jc w:val="center"/>
      </w:pPr>
      <w:r>
        <w:drawing>
          <wp:inline xmlns:a="http://schemas.openxmlformats.org/drawingml/2006/main" xmlns:pic="http://schemas.openxmlformats.org/drawingml/2006/picture">
            <wp:extent cx="5112000" cy="2650667"/>
            <wp:docPr id="5" name="Picture 5"/>
            <wp:cNvGraphicFramePr>
              <a:graphicFrameLocks noChangeAspect="1"/>
            </wp:cNvGraphicFramePr>
            <a:graphic>
              <a:graphicData uri="http://schemas.openxmlformats.org/drawingml/2006/picture">
                <pic:pic>
                  <pic:nvPicPr>
                    <pic:cNvPr id="0" name="easel.png"/>
                    <pic:cNvPicPr/>
                  </pic:nvPicPr>
                  <pic:blipFill>
                    <a:blip r:embed="rId13"/>
                    <a:stretch>
                      <a:fillRect/>
                    </a:stretch>
                  </pic:blipFill>
                  <pic:spPr>
                    <a:xfrm>
                      <a:off x="0" y="0"/>
                      <a:ext cx="5112000" cy="2650667"/>
                    </a:xfrm>
                    <a:prstGeom prst="rect"/>
                  </pic:spPr>
                </pic:pic>
              </a:graphicData>
            </a:graphic>
          </wp:inline>
        </w:drawing>
      </w:r>
    </w:p>
    <w:p>
      <w:pPr>
        <w:spacing w:after="240"/>
        <w:jc w:val="center"/>
      </w:pPr>
      <w:r>
        <w:rPr>
          <w:i/>
          <w:color w:val="5A636E"/>
          <w:sz w:val="18"/>
        </w:rPr>
        <w:t>The easel as printed: two side fins, a plinth that doubles as the front lip, and a rear tie.</w:t>
      </w:r>
    </w:p>
    <w:p>
      <w:pPr>
        <w:pStyle w:val="Heading1"/>
      </w:pPr>
      <w:r>
        <w:t>8. Files</w:t>
      </w:r>
    </w:p>
    <w:tbl>
      <w:tblPr>
        <w:tblStyle w:val="TableGrid"/>
        <w:tblW w:type="auto" w:w="0"/>
        <w:jc w:val="center"/>
        <w:tblLook w:firstColumn="1" w:firstRow="1" w:lastColumn="0" w:lastRow="0" w:noHBand="0" w:noVBand="1" w:val="04A0"/>
      </w:tblPr>
      <w:tblGrid>
        <w:gridCol w:w="4759"/>
        <w:gridCol w:w="4759"/>
      </w:tblGrid>
      <w:tr>
        <w:tc>
          <w:tcPr>
            <w:tcW w:type="dxa" w:w="3515"/>
            <w:shd w:val="clear" w:fill="EEF3F1"/>
          </w:tcPr>
          <w:p>
            <w:r/>
            <w:r>
              <w:rPr>
                <w:rFonts w:ascii="Arial" w:hAnsi="Arial"/>
                <w:b/>
                <w:sz w:val="19"/>
              </w:rPr>
              <w:t>Path</w:t>
            </w:r>
          </w:p>
        </w:tc>
        <w:tc>
          <w:tcPr>
            <w:tcW w:type="dxa" w:w="5216"/>
            <w:shd w:val="clear" w:fill="EEF3F1"/>
          </w:tcPr>
          <w:p>
            <w:r/>
            <w:r>
              <w:rPr>
                <w:rFonts w:ascii="Arial" w:hAnsi="Arial"/>
                <w:b/>
                <w:sz w:val="19"/>
              </w:rPr>
              <w:t>What it is</w:t>
            </w:r>
          </w:p>
        </w:tc>
      </w:tr>
      <w:tr>
        <w:tc>
          <w:tcPr>
            <w:tcW w:type="dxa" w:w="3515"/>
          </w:tcPr>
          <w:p>
            <w:r/>
            <w:r>
              <w:rPr>
                <w:rFonts w:ascii="Arial" w:hAnsi="Arial"/>
                <w:sz w:val="19"/>
              </w:rPr>
              <w:t>openscad/plate_forge.scad</w:t>
            </w:r>
          </w:p>
        </w:tc>
        <w:tc>
          <w:tcPr>
            <w:tcW w:type="dxa" w:w="5216"/>
          </w:tcPr>
          <w:p>
            <w:r/>
            <w:r>
              <w:rPr>
                <w:rFonts w:ascii="Arial" w:hAnsi="Arial"/>
                <w:sz w:val="19"/>
              </w:rPr>
              <w:t>the parametric model, MakerWorld ready</w:t>
            </w:r>
          </w:p>
        </w:tc>
      </w:tr>
      <w:tr>
        <w:tc>
          <w:tcPr>
            <w:tcW w:type="dxa" w:w="3515"/>
          </w:tcPr>
          <w:p>
            <w:r/>
            <w:r>
              <w:rPr>
                <w:rFonts w:ascii="Arial" w:hAnsi="Arial"/>
                <w:sz w:val="19"/>
              </w:rPr>
              <w:t>index.html, js/, css/</w:t>
            </w:r>
          </w:p>
        </w:tc>
        <w:tc>
          <w:tcPr>
            <w:tcW w:type="dxa" w:w="5216"/>
          </w:tcPr>
          <w:p>
            <w:r/>
            <w:r>
              <w:rPr>
                <w:rFonts w:ascii="Arial" w:hAnsi="Arial"/>
                <w:sz w:val="19"/>
              </w:rPr>
              <w:t>the browser generator</w:t>
            </w:r>
          </w:p>
        </w:tc>
      </w:tr>
      <w:tr>
        <w:tc>
          <w:tcPr>
            <w:tcW w:type="dxa" w:w="3515"/>
          </w:tcPr>
          <w:p>
            <w:r/>
            <w:r>
              <w:rPr>
                <w:rFonts w:ascii="Arial" w:hAnsi="Arial"/>
                <w:sz w:val="19"/>
              </w:rPr>
              <w:t>OPTIONS.md</w:t>
            </w:r>
          </w:p>
        </w:tc>
        <w:tc>
          <w:tcPr>
            <w:tcW w:type="dxa" w:w="5216"/>
          </w:tcPr>
          <w:p>
            <w:r/>
            <w:r>
              <w:rPr>
                <w:rFonts w:ascii="Arial" w:hAnsi="Arial"/>
                <w:sz w:val="19"/>
              </w:rPr>
              <w:t>the research: what the alternatives are and why this one won</w:t>
            </w:r>
          </w:p>
        </w:tc>
      </w:tr>
      <w:tr>
        <w:tc>
          <w:tcPr>
            <w:tcW w:type="dxa" w:w="3515"/>
          </w:tcPr>
          <w:p>
            <w:r/>
            <w:r>
              <w:rPr>
                <w:rFonts w:ascii="Arial" w:hAnsi="Arial"/>
                <w:sz w:val="19"/>
              </w:rPr>
              <w:t>PRINT-SETTINGS.md</w:t>
            </w:r>
          </w:p>
        </w:tc>
        <w:tc>
          <w:tcPr>
            <w:tcW w:type="dxa" w:w="5216"/>
          </w:tcPr>
          <w:p>
            <w:r/>
            <w:r>
              <w:rPr>
                <w:rFonts w:ascii="Arial" w:hAnsi="Arial"/>
                <w:sz w:val="19"/>
              </w:rPr>
              <w:t>slicer settings and the ink workflow in full</w:t>
            </w:r>
          </w:p>
        </w:tc>
      </w:tr>
      <w:tr>
        <w:tc>
          <w:tcPr>
            <w:tcW w:type="dxa" w:w="3515"/>
          </w:tcPr>
          <w:p>
            <w:r/>
            <w:r>
              <w:rPr>
                <w:rFonts w:ascii="Arial" w:hAnsi="Arial"/>
                <w:sz w:val="19"/>
              </w:rPr>
              <w:t>MAKERWORLD.md</w:t>
            </w:r>
          </w:p>
        </w:tc>
        <w:tc>
          <w:tcPr>
            <w:tcW w:type="dxa" w:w="5216"/>
          </w:tcPr>
          <w:p>
            <w:r/>
            <w:r>
              <w:rPr>
                <w:rFonts w:ascii="Arial" w:hAnsi="Arial"/>
                <w:sz w:val="19"/>
              </w:rPr>
              <w:t>listing copy, tags and settings for the upload</w:t>
            </w:r>
          </w:p>
        </w:tc>
      </w:tr>
      <w:tr>
        <w:tc>
          <w:tcPr>
            <w:tcW w:type="dxa" w:w="3515"/>
          </w:tcPr>
          <w:p>
            <w:r/>
            <w:r>
              <w:rPr>
                <w:rFonts w:ascii="Arial" w:hAnsi="Arial"/>
                <w:sz w:val="19"/>
              </w:rPr>
              <w:t>test/check.mjs</w:t>
            </w:r>
          </w:p>
        </w:tc>
        <w:tc>
          <w:tcPr>
            <w:tcW w:type="dxa" w:w="5216"/>
          </w:tcPr>
          <w:p>
            <w:r/>
            <w:r>
              <w:rPr>
                <w:rFonts w:ascii="Arial" w:hAnsi="Arial"/>
                <w:sz w:val="19"/>
              </w:rPr>
              <w:t>headless geometry tests</w:t>
            </w:r>
          </w:p>
        </w:tc>
      </w:tr>
      <w:tr>
        <w:tc>
          <w:tcPr>
            <w:tcW w:type="dxa" w:w="3515"/>
          </w:tcPr>
          <w:p>
            <w:r/>
            <w:r>
              <w:rPr>
                <w:rFonts w:ascii="Arial" w:hAnsi="Arial"/>
                <w:sz w:val="19"/>
              </w:rPr>
              <w:t>docs/</w:t>
            </w:r>
          </w:p>
        </w:tc>
        <w:tc>
          <w:tcPr>
            <w:tcW w:type="dxa" w:w="5216"/>
          </w:tcPr>
          <w:p>
            <w:r/>
            <w:r>
              <w:rPr>
                <w:rFonts w:ascii="Arial" w:hAnsi="Arial"/>
                <w:sz w:val="19"/>
              </w:rPr>
              <w:t>the images in this document</w:t>
            </w:r>
          </w:p>
        </w:tc>
      </w:tr>
    </w:tbl>
    <w:p>
      <w:pPr>
        <w:spacing w:after="40"/>
      </w:pPr>
    </w:p>
    <w:p>
      <w:r>
        <w:rPr>
          <w:b w:val="0"/>
          <w:i/>
          <w:color w:val="5A636E"/>
        </w:rPr>
        <w:t>Print the coupon before the plate. It costs eight minutes and it turns every claim above into a measurement on your own filament.</w:t>
      </w:r>
    </w:p>
    <w:sectPr w:rsidR="00FC693F" w:rsidRPr="0006063C" w:rsidSect="00034616">
      <w:pgSz w:w="12240" w:h="15840"/>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80"/>
      <w:outlineLvl w:val="0"/>
    </w:pPr>
    <w:rPr>
      <w:rFonts w:asciiTheme="majorHAnsi" w:eastAsiaTheme="majorEastAsia" w:hAnsiTheme="majorHAnsi" w:cstheme="majorBidi" w:ascii="Arial" w:hAnsi="Arial"/>
      <w:b/>
      <w:bCs/>
      <w:color w:val="1A1A1A"/>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rial" w:hAnsi="Arial"/>
      <w:b/>
      <w:bCs/>
      <w:color w:val="0E7C5C"/>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