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266"/>
        <w:gridCol w:w="7198"/>
      </w:tblGrid>
      <w:tr w:rsidR="005B2F71" w:rsidRPr="004919C4" w:rsidTr="004919C4">
        <w:trPr>
          <w:trHeight w:val="346"/>
        </w:trPr>
        <w:tc>
          <w:tcPr>
            <w:tcW w:w="2266" w:type="dxa"/>
            <w:shd w:val="clear" w:color="auto" w:fill="E7CCE7" w:themeFill="accent3" w:themeFillTint="33"/>
            <w:hideMark/>
          </w:tcPr>
          <w:p w:rsidR="00325D33" w:rsidRPr="004919C4" w:rsidRDefault="00325D33" w:rsidP="004219DE">
            <w:pPr>
              <w:keepNext/>
              <w:keepLines/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7198" w:type="dxa"/>
            <w:shd w:val="clear" w:color="auto" w:fill="E7CCE7" w:themeFill="accent3" w:themeFillTint="33"/>
            <w:hideMark/>
          </w:tcPr>
          <w:p w:rsidR="00325D33" w:rsidRPr="004919C4" w:rsidRDefault="004219DE" w:rsidP="00F3444D">
            <w:pPr>
              <w:keepNext/>
              <w:keepLines/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en-GB"/>
              </w:rPr>
              <w:t xml:space="preserve">Summary </w:t>
            </w:r>
            <w:r w:rsidR="00F3444D" w:rsidRPr="004919C4">
              <w:rPr>
                <w:rFonts w:ascii="Arial" w:eastAsiaTheme="minorEastAsia" w:hAnsi="Arial" w:cs="Arial"/>
                <w:b/>
                <w:bCs/>
                <w:sz w:val="18"/>
                <w:szCs w:val="18"/>
                <w:lang w:eastAsia="en-GB"/>
              </w:rPr>
              <w:t xml:space="preserve"> Details</w:t>
            </w:r>
          </w:p>
        </w:tc>
      </w:tr>
      <w:tr w:rsidR="005B2F71" w:rsidRPr="004919C4" w:rsidTr="004919C4">
        <w:trPr>
          <w:trHeight w:val="1320"/>
        </w:trPr>
        <w:tc>
          <w:tcPr>
            <w:tcW w:w="2266" w:type="dxa"/>
            <w:hideMark/>
          </w:tcPr>
          <w:p w:rsidR="00325D33" w:rsidRPr="004919C4" w:rsidRDefault="006A128B" w:rsidP="005B2F71">
            <w:pPr>
              <w:keepNext/>
              <w:keepLines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Allocation rule m</w:t>
            </w:r>
            <w:r w:rsidR="00325D3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anager</w:t>
            </w:r>
            <w:r w:rsidR="00061E7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(ARM)</w:t>
            </w:r>
          </w:p>
        </w:tc>
        <w:tc>
          <w:tcPr>
            <w:tcW w:w="7198" w:type="dxa"/>
          </w:tcPr>
          <w:p w:rsidR="0054656F" w:rsidRPr="004919C4" w:rsidRDefault="00061E73" w:rsidP="00F3444D">
            <w:pPr>
              <w:keepNext/>
              <w:keepLines/>
              <w:spacing w:line="360" w:lineRule="auto"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ARM</w:t>
            </w:r>
            <w:r w:rsidR="005B2F71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is</w:t>
            </w:r>
            <w:r w:rsidR="000C6D78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an access database which was developed to manage expense allocation rules. The database </w:t>
            </w:r>
            <w:r w:rsidR="003B10C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is used</w:t>
            </w:r>
            <w:r w:rsidR="005B2F71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to calculate th</w:t>
            </w:r>
            <w:r w:rsidR="003B10C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e rules/percentage metrics</w:t>
            </w:r>
            <w:r w:rsidR="005B2F71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used in the expenses allocation process</w:t>
            </w:r>
            <w:r w:rsidR="000C6D78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based on external data inputs</w:t>
            </w:r>
            <w:r w:rsidR="005B2F71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.</w:t>
            </w:r>
            <w:r w:rsidR="003B10C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  <w:r w:rsidR="0054656F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Below are some of the reasons why an access database solution was </w:t>
            </w:r>
            <w:r w:rsidR="00F03FD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chosen </w:t>
            </w:r>
            <w:r w:rsidR="0054656F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for ARM:</w:t>
            </w:r>
          </w:p>
          <w:p w:rsidR="0054656F" w:rsidRPr="004919C4" w:rsidRDefault="0054656F" w:rsidP="00F03FD2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4919C4">
              <w:rPr>
                <w:rFonts w:ascii="Arial" w:eastAsia="Times New Roman" w:hAnsi="Arial" w:cs="Arial"/>
                <w:sz w:val="18"/>
                <w:szCs w:val="18"/>
              </w:rPr>
              <w:t xml:space="preserve">It was </w:t>
            </w:r>
            <w:r w:rsidR="00F03FD2" w:rsidRPr="004919C4">
              <w:rPr>
                <w:rFonts w:ascii="Arial" w:eastAsia="Times New Roman" w:hAnsi="Arial" w:cs="Arial"/>
                <w:sz w:val="18"/>
                <w:szCs w:val="18"/>
              </w:rPr>
              <w:t>convenient and flexible and access works well</w:t>
            </w:r>
          </w:p>
          <w:p w:rsidR="0054656F" w:rsidRPr="004919C4" w:rsidRDefault="0054656F" w:rsidP="00F03FD2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4919C4">
              <w:rPr>
                <w:rFonts w:ascii="Arial" w:eastAsia="Times New Roman" w:hAnsi="Arial" w:cs="Arial"/>
                <w:sz w:val="18"/>
                <w:szCs w:val="18"/>
              </w:rPr>
              <w:t>Easy control over SharePoint lists (centralised versioned data)</w:t>
            </w:r>
          </w:p>
          <w:p w:rsidR="0054656F" w:rsidRPr="004919C4" w:rsidRDefault="00F03FD2" w:rsidP="00F03FD2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4919C4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 w:rsidR="0054656F" w:rsidRPr="004919C4">
              <w:rPr>
                <w:rFonts w:ascii="Arial" w:eastAsia="Times New Roman" w:hAnsi="Arial" w:cs="Arial"/>
                <w:sz w:val="18"/>
                <w:szCs w:val="18"/>
              </w:rPr>
              <w:t xml:space="preserve">ule functionality was still changing in ARM after release </w:t>
            </w:r>
            <w:r w:rsidRPr="004919C4">
              <w:rPr>
                <w:rFonts w:ascii="Arial" w:eastAsia="Times New Roman" w:hAnsi="Arial" w:cs="Arial"/>
                <w:sz w:val="18"/>
                <w:szCs w:val="18"/>
              </w:rPr>
              <w:t>which would not be</w:t>
            </w:r>
            <w:r w:rsidR="0054656F" w:rsidRPr="004919C4">
              <w:rPr>
                <w:rFonts w:ascii="Arial" w:eastAsia="Times New Roman" w:hAnsi="Arial" w:cs="Arial"/>
                <w:sz w:val="18"/>
                <w:szCs w:val="18"/>
              </w:rPr>
              <w:t xml:space="preserve"> possible if any other formal system</w:t>
            </w:r>
            <w:r w:rsidRPr="004919C4">
              <w:rPr>
                <w:rFonts w:ascii="Arial" w:eastAsia="Times New Roman" w:hAnsi="Arial" w:cs="Arial"/>
                <w:sz w:val="18"/>
                <w:szCs w:val="18"/>
              </w:rPr>
              <w:t xml:space="preserve"> was developed</w:t>
            </w:r>
          </w:p>
          <w:p w:rsidR="0054656F" w:rsidRPr="004919C4" w:rsidRDefault="0054656F" w:rsidP="00F03FD2">
            <w:pPr>
              <w:numPr>
                <w:ilvl w:val="0"/>
                <w:numId w:val="4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4919C4">
              <w:rPr>
                <w:rFonts w:ascii="Arial" w:eastAsia="Times New Roman" w:hAnsi="Arial" w:cs="Arial"/>
                <w:sz w:val="18"/>
                <w:szCs w:val="18"/>
              </w:rPr>
              <w:t>A simple way to regenerate A1 and A3 after source data has changed</w:t>
            </w:r>
          </w:p>
          <w:p w:rsidR="0054656F" w:rsidRPr="004919C4" w:rsidRDefault="0054656F" w:rsidP="00F03FD2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919C4">
              <w:rPr>
                <w:rFonts w:ascii="Arial" w:eastAsia="Times New Roman" w:hAnsi="Arial" w:cs="Arial"/>
                <w:sz w:val="18"/>
                <w:szCs w:val="18"/>
              </w:rPr>
              <w:t>A1 and A3 were at the time the only large rules</w:t>
            </w:r>
          </w:p>
          <w:p w:rsidR="0054656F" w:rsidRPr="004919C4" w:rsidRDefault="00F03FD2" w:rsidP="00F0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919C4">
              <w:rPr>
                <w:rFonts w:ascii="Arial" w:hAnsi="Arial" w:cs="Arial"/>
                <w:sz w:val="18"/>
                <w:szCs w:val="18"/>
              </w:rPr>
              <w:t>It was assumed there would be another phase of development,  i.e. was a short term solution</w:t>
            </w:r>
            <w:r w:rsidR="0054656F" w:rsidRPr="004919C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4656F" w:rsidRPr="004919C4" w:rsidRDefault="00F03FD2" w:rsidP="00F0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919C4">
              <w:rPr>
                <w:rFonts w:ascii="Arial" w:hAnsi="Arial" w:cs="Arial"/>
                <w:sz w:val="18"/>
                <w:szCs w:val="18"/>
              </w:rPr>
              <w:t>Aspiration</w:t>
            </w:r>
            <w:r w:rsidR="0054656F" w:rsidRPr="004919C4">
              <w:rPr>
                <w:rFonts w:ascii="Arial" w:hAnsi="Arial" w:cs="Arial"/>
                <w:sz w:val="18"/>
                <w:szCs w:val="18"/>
              </w:rPr>
              <w:t xml:space="preserve"> that the users would end up not manually editing the rules in the excel files</w:t>
            </w:r>
          </w:p>
          <w:p w:rsidR="00F03FD2" w:rsidRPr="004919C4" w:rsidRDefault="0054656F" w:rsidP="00F03FD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4919C4">
              <w:rPr>
                <w:rFonts w:ascii="Arial" w:hAnsi="Arial" w:cs="Arial"/>
                <w:sz w:val="18"/>
                <w:szCs w:val="18"/>
              </w:rPr>
              <w:t>Excel files were always initially seen as a “behind the scenes” technical format</w:t>
            </w:r>
          </w:p>
          <w:p w:rsidR="00F03FD2" w:rsidRPr="004919C4" w:rsidRDefault="00F03FD2" w:rsidP="00F03FD2">
            <w:pPr>
              <w:pStyle w:val="ListParagraph"/>
              <w:numPr>
                <w:ilvl w:val="0"/>
                <w:numId w:val="4"/>
              </w:numPr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The</w:t>
            </w:r>
            <w:r w:rsidR="003B10C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data required in the calculation of the allocation rules was not available within FDM.</w:t>
            </w:r>
          </w:p>
          <w:p w:rsidR="00373735" w:rsidRPr="004919C4" w:rsidRDefault="003B10C9" w:rsidP="00F03FD2">
            <w:pPr>
              <w:pStyle w:val="ListParagraph"/>
              <w:numPr>
                <w:ilvl w:val="0"/>
                <w:numId w:val="4"/>
              </w:numPr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  <w:r w:rsidR="00F03FD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Having</w:t>
            </w:r>
            <w:r w:rsidR="00F3444D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ARM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outside of FDM and in an access database enable</w:t>
            </w:r>
            <w:r w:rsidR="00F03FD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d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the users</w:t>
            </w:r>
            <w:r w:rsidR="00F3444D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to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make a number of manipulations required to the data inputs which they would not be abl</w:t>
            </w:r>
            <w:r w:rsidR="00373735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e to do if ARM was within FDM. </w:t>
            </w:r>
          </w:p>
          <w:p w:rsidR="00F03FD2" w:rsidRPr="004919C4" w:rsidRDefault="00F03FD2" w:rsidP="00F3444D">
            <w:pPr>
              <w:keepNext/>
              <w:keepLines/>
              <w:spacing w:line="360" w:lineRule="auto"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</w:p>
          <w:p w:rsidR="006A128B" w:rsidRPr="004919C4" w:rsidRDefault="00F3444D" w:rsidP="00F3444D">
            <w:pPr>
              <w:keepNext/>
              <w:keepLines/>
              <w:spacing w:line="360" w:lineRule="auto"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Expenses allocation rules are normally generated once annually</w:t>
            </w:r>
            <w:r w:rsidR="00F03FD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(there are a number of iterations during the budgeting process) unless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there are changes in the business plan. </w:t>
            </w:r>
            <w:r w:rsidR="003B10C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The user initiates creation of the expense al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location rules by updating ARM. </w:t>
            </w:r>
            <w:r w:rsidR="00061E7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ARM</w:t>
            </w:r>
            <w:r w:rsidR="006A128B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generates expense allocation rules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based on the business plan from </w:t>
            </w:r>
            <w:r w:rsidR="005B2F71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Capital Modelling team</w:t>
            </w:r>
            <w:r w:rsidR="00061E7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,</w:t>
            </w:r>
            <w:r w:rsidR="0010554F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service company premiums</w:t>
            </w:r>
            <w:r w:rsidR="00061E7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and HL percentage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s</w:t>
            </w:r>
            <w:r w:rsidR="00061E7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(set percentage application basis types defined within ARM (e.g. </w:t>
            </w:r>
            <w:r w:rsidR="00B0766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cost t</w:t>
            </w:r>
            <w:r w:rsidR="00061E7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ype &amp; </w:t>
            </w:r>
            <w:r w:rsidR="00B0766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d</w:t>
            </w:r>
            <w:r w:rsidR="00061E7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epartment)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.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The calculated expense allocated rules are placed into</w:t>
            </w:r>
            <w:r w:rsidR="00B0766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standard directories for upload to FDM.</w:t>
            </w:r>
          </w:p>
        </w:tc>
      </w:tr>
      <w:tr w:rsidR="005B2F71" w:rsidRPr="004919C4" w:rsidTr="004919C4">
        <w:trPr>
          <w:trHeight w:val="1364"/>
        </w:trPr>
        <w:tc>
          <w:tcPr>
            <w:tcW w:w="2266" w:type="dxa"/>
            <w:hideMark/>
          </w:tcPr>
          <w:p w:rsidR="00325D33" w:rsidRPr="004919C4" w:rsidRDefault="006A128B" w:rsidP="005B2F71">
            <w:pPr>
              <w:keepNext/>
              <w:keepLines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Allocation rules i</w:t>
            </w:r>
            <w:r w:rsidR="00325D3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mport to FDM </w:t>
            </w:r>
          </w:p>
        </w:tc>
        <w:tc>
          <w:tcPr>
            <w:tcW w:w="7198" w:type="dxa"/>
          </w:tcPr>
          <w:p w:rsidR="00373735" w:rsidRPr="004919C4" w:rsidRDefault="006A128B" w:rsidP="00373735">
            <w:pPr>
              <w:keepNext/>
              <w:keepLines/>
              <w:spacing w:line="360" w:lineRule="auto"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Expense al</w:t>
            </w:r>
            <w:r w:rsidR="00373735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location </w:t>
            </w:r>
            <w:r w:rsidR="00953E0C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rules are imported into FDM</w:t>
            </w:r>
            <w:r w:rsidR="005B2DF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from ARM</w:t>
            </w:r>
            <w:r w:rsidR="00953E0C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for use in</w:t>
            </w:r>
            <w:r w:rsidR="00B0766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the expense allocation process annual</w:t>
            </w:r>
            <w:r w:rsidR="005B2DF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ly</w:t>
            </w:r>
            <w:r w:rsidR="00373735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. This import is initiated by the user using a standard FDM control sheet. There is no automatic update of expense allocation rules in FDM, hence if the </w:t>
            </w:r>
            <w:r w:rsidR="00B0766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allocation rules</w:t>
            </w:r>
            <w:r w:rsidR="00373735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in FDM are updated the user has to import the rules into</w:t>
            </w:r>
            <w:r w:rsidR="00B07669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ARM</w:t>
            </w:r>
            <w:r w:rsidR="00373735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.</w:t>
            </w:r>
          </w:p>
          <w:p w:rsidR="005B2DF2" w:rsidRPr="004919C4" w:rsidRDefault="00373735" w:rsidP="00373735">
            <w:pPr>
              <w:keepNext/>
              <w:keepLines/>
              <w:spacing w:line="360" w:lineRule="auto"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  <w:r w:rsidR="005B2DF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Imported expense allocation rules are stored in FDM and used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in</w:t>
            </w:r>
            <w:r w:rsidR="005B2DF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the calculations of subsequent expense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allocations</w:t>
            </w:r>
            <w:r w:rsidR="005B2DF2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.</w:t>
            </w:r>
          </w:p>
        </w:tc>
      </w:tr>
      <w:tr w:rsidR="005B2F71" w:rsidRPr="004919C4" w:rsidTr="004919C4">
        <w:trPr>
          <w:trHeight w:val="771"/>
        </w:trPr>
        <w:tc>
          <w:tcPr>
            <w:tcW w:w="2266" w:type="dxa"/>
            <w:hideMark/>
          </w:tcPr>
          <w:p w:rsidR="00325D33" w:rsidRPr="004919C4" w:rsidRDefault="00953E0C" w:rsidP="005B2F71">
            <w:pPr>
              <w:keepNext/>
              <w:keepLines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Calculation of expense allocation within </w:t>
            </w:r>
            <w:r w:rsidR="00325D3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FDM</w:t>
            </w:r>
          </w:p>
        </w:tc>
        <w:tc>
          <w:tcPr>
            <w:tcW w:w="7198" w:type="dxa"/>
          </w:tcPr>
          <w:p w:rsidR="00325D33" w:rsidRPr="004919C4" w:rsidRDefault="005B2DF2" w:rsidP="00074496">
            <w:pPr>
              <w:keepNext/>
              <w:keepLines/>
              <w:spacing w:line="360" w:lineRule="auto"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Calculation of expense allocations is initiated by the user using a standard 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FDM control sheet on 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a 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monthly basis.</w:t>
            </w:r>
            <w:r w:rsidR="00373735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As part of the calculation FDM 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applies the imported expense allocation rules against expenses incurred by non revenue generating departments/support teams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to calculate allocations that should be made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to revenue generating departments, entities and syndicates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.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The calculated expense allocations are then compared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to the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expenses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already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allocated to date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in live Agresso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. The difference (delta) is the 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‘top up’ adjustment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required to bring live Agresso expense allocations to the latest calculated expense allocation balance. A ‘top up’ adjustment journals for this amount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to be posted into Agresso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is calculated</w:t>
            </w:r>
            <w:r w:rsidR="008F3E9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.</w:t>
            </w:r>
          </w:p>
        </w:tc>
      </w:tr>
      <w:tr w:rsidR="005B2F71" w:rsidRPr="004919C4" w:rsidTr="004919C4">
        <w:trPr>
          <w:trHeight w:val="771"/>
        </w:trPr>
        <w:tc>
          <w:tcPr>
            <w:tcW w:w="2266" w:type="dxa"/>
            <w:hideMark/>
          </w:tcPr>
          <w:p w:rsidR="00325D33" w:rsidRPr="004919C4" w:rsidRDefault="008F3E9E" w:rsidP="005B2F71">
            <w:pPr>
              <w:keepNext/>
              <w:keepLines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Posting expense allocations adjustment to </w:t>
            </w:r>
            <w:r w:rsidR="00325D33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Agresso</w:t>
            </w:r>
          </w:p>
          <w:p w:rsidR="00325D33" w:rsidRPr="004919C4" w:rsidRDefault="00325D33" w:rsidP="005B2F71">
            <w:pPr>
              <w:keepNext/>
              <w:keepLines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7198" w:type="dxa"/>
          </w:tcPr>
          <w:p w:rsidR="00325D33" w:rsidRPr="004919C4" w:rsidRDefault="008F3E9E" w:rsidP="00074496">
            <w:pPr>
              <w:keepNext/>
              <w:keepLines/>
              <w:spacing w:line="360" w:lineRule="auto"/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</w:pP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Posting of expense allocations adjustment journals to Agresso is initiated by the user using a </w:t>
            </w:r>
            <w:bookmarkStart w:id="0" w:name="_GoBack"/>
            <w:bookmarkEnd w:id="0"/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standard FDM control sheet on monthly basis.</w:t>
            </w:r>
            <w:r w:rsidR="00074496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The calculated ‘top up’ adjustment journals </w:t>
            </w:r>
            <w:r w:rsidR="004219DE"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>are</w:t>
            </w:r>
            <w:r w:rsidRPr="004919C4">
              <w:rPr>
                <w:rFonts w:ascii="Arial" w:eastAsiaTheme="minorEastAsia" w:hAnsi="Arial" w:cs="Arial"/>
                <w:bCs/>
                <w:sz w:val="18"/>
                <w:szCs w:val="18"/>
                <w:lang w:eastAsia="en-GB"/>
              </w:rPr>
              <w:t xml:space="preserve"> posted into Agresso.</w:t>
            </w:r>
          </w:p>
        </w:tc>
      </w:tr>
    </w:tbl>
    <w:p w:rsidR="00FE1B03" w:rsidRPr="004919C4" w:rsidRDefault="00FE1B03" w:rsidP="005B2F71">
      <w:pPr>
        <w:keepNext/>
        <w:keepLines/>
        <w:spacing w:after="0" w:line="240" w:lineRule="auto"/>
        <w:rPr>
          <w:rFonts w:eastAsiaTheme="minorEastAsia"/>
          <w:b/>
          <w:bCs/>
          <w:sz w:val="18"/>
          <w:szCs w:val="18"/>
          <w:lang w:eastAsia="en-GB"/>
        </w:rPr>
      </w:pPr>
    </w:p>
    <w:sectPr w:rsidR="00FE1B03" w:rsidRPr="004919C4" w:rsidSect="0054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E00B9"/>
    <w:multiLevelType w:val="hybridMultilevel"/>
    <w:tmpl w:val="E8FC9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C4"/>
    <w:multiLevelType w:val="hybridMultilevel"/>
    <w:tmpl w:val="553A1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50430"/>
    <w:multiLevelType w:val="multilevel"/>
    <w:tmpl w:val="92F6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FF2AA8"/>
    <w:multiLevelType w:val="hybridMultilevel"/>
    <w:tmpl w:val="31FE5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6D"/>
    <w:rsid w:val="0003208B"/>
    <w:rsid w:val="0003586D"/>
    <w:rsid w:val="00061E73"/>
    <w:rsid w:val="00074496"/>
    <w:rsid w:val="000C6D78"/>
    <w:rsid w:val="0010554F"/>
    <w:rsid w:val="001232EA"/>
    <w:rsid w:val="00325D33"/>
    <w:rsid w:val="00373735"/>
    <w:rsid w:val="003A54F1"/>
    <w:rsid w:val="003B10C9"/>
    <w:rsid w:val="00402C23"/>
    <w:rsid w:val="004219DE"/>
    <w:rsid w:val="004919C4"/>
    <w:rsid w:val="0054656F"/>
    <w:rsid w:val="005B2DF2"/>
    <w:rsid w:val="005B2F71"/>
    <w:rsid w:val="00653DC3"/>
    <w:rsid w:val="006A128B"/>
    <w:rsid w:val="00745F69"/>
    <w:rsid w:val="0083770A"/>
    <w:rsid w:val="008F3E9E"/>
    <w:rsid w:val="00953E0C"/>
    <w:rsid w:val="009E3142"/>
    <w:rsid w:val="00B07669"/>
    <w:rsid w:val="00BF337F"/>
    <w:rsid w:val="00D64E41"/>
    <w:rsid w:val="00E359CB"/>
    <w:rsid w:val="00F03FD2"/>
    <w:rsid w:val="00F3444D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0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02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CB732-71F5-4194-B0E9-B1CF7BD1BF4F}"/>
</file>

<file path=customXml/itemProps2.xml><?xml version="1.0" encoding="utf-8"?>
<ds:datastoreItem xmlns:ds="http://schemas.openxmlformats.org/officeDocument/2006/customXml" ds:itemID="{2A89DE7A-92D1-4C79-B717-508F64F86224}"/>
</file>

<file path=customXml/itemProps3.xml><?xml version="1.0" encoding="utf-8"?>
<ds:datastoreItem xmlns:ds="http://schemas.openxmlformats.org/officeDocument/2006/customXml" ds:itemID="{9B575D3B-3787-4777-AE1F-1BB4F1747D7C}"/>
</file>

<file path=docProps/app.xml><?xml version="1.0" encoding="utf-8"?>
<Properties xmlns="http://schemas.openxmlformats.org/officeDocument/2006/extended-properties" xmlns:vt="http://schemas.openxmlformats.org/officeDocument/2006/docPropsVTypes">
  <Template>2F1AEDAB</Template>
  <TotalTime>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Cosmas Woyo</dc:creator>
  <cp:lastModifiedBy>Cosmas Woyo</cp:lastModifiedBy>
  <cp:revision>5</cp:revision>
  <cp:lastPrinted>2017-11-23T16:36:00Z</cp:lastPrinted>
  <dcterms:created xsi:type="dcterms:W3CDTF">2017-11-23T14:27:00Z</dcterms:created>
  <dcterms:modified xsi:type="dcterms:W3CDTF">2017-11-24T12:48:00Z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0x01010085AC826E8FC01349BE8AF9B6923EAC51</vt:lpwstr>
  </property>
</Properties>
</file>