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811" w:rsidRPr="002E4327" w:rsidRDefault="00EA3BCB" w:rsidP="002E4327">
      <w:pPr>
        <w:pStyle w:val="Title"/>
        <w:rPr>
          <w:b/>
        </w:rPr>
      </w:pPr>
      <w:r w:rsidRPr="00A14386">
        <w:rPr>
          <w:rStyle w:val="Strong"/>
        </w:rPr>
        <w:t>Finance Process overview</w:t>
      </w:r>
    </w:p>
    <w:tbl>
      <w:tblPr>
        <w:tblW w:w="8931"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2694"/>
        <w:gridCol w:w="6237"/>
      </w:tblGrid>
      <w:tr w:rsidR="00EA3BCB" w:rsidRPr="00CD4F32" w:rsidTr="00BF324F">
        <w:tc>
          <w:tcPr>
            <w:tcW w:w="2694"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EA3BCB" w:rsidRDefault="00EA3BCB" w:rsidP="00710F2A">
            <w:pPr>
              <w:rPr>
                <w:b/>
              </w:rPr>
            </w:pPr>
          </w:p>
        </w:tc>
        <w:tc>
          <w:tcPr>
            <w:tcW w:w="6237"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EA3BCB" w:rsidRDefault="00EA3BCB" w:rsidP="00D77F32">
            <w:pPr>
              <w:jc w:val="center"/>
              <w:rPr>
                <w:b/>
              </w:rPr>
            </w:pPr>
            <w:r w:rsidRPr="00EA3BCB">
              <w:rPr>
                <w:b/>
              </w:rPr>
              <w:t>Summary Details</w:t>
            </w:r>
          </w:p>
          <w:p w:rsidR="00EA3BCB" w:rsidRPr="00EA3BCB" w:rsidRDefault="00EA3BCB" w:rsidP="00710F2A">
            <w:pPr>
              <w:rPr>
                <w:b/>
              </w:rPr>
            </w:pPr>
          </w:p>
        </w:tc>
      </w:tr>
      <w:tr w:rsidR="00EA3BCB" w:rsidRPr="00CD4F32" w:rsidTr="00BF324F">
        <w:tc>
          <w:tcPr>
            <w:tcW w:w="2694" w:type="dxa"/>
            <w:tcBorders>
              <w:top w:val="single" w:sz="6" w:space="0" w:color="666666"/>
              <w:left w:val="single" w:sz="6" w:space="0" w:color="666666"/>
              <w:bottom w:val="nil"/>
              <w:right w:val="single" w:sz="6" w:space="0" w:color="666666"/>
              <w:tl2br w:val="nil"/>
              <w:tr2bl w:val="nil"/>
            </w:tcBorders>
            <w:shd w:val="clear" w:color="auto" w:fill="F2F2F2" w:themeFill="background1" w:themeFillShade="F2"/>
          </w:tcPr>
          <w:p w:rsidR="00EA3BCB" w:rsidRPr="000C1A29" w:rsidRDefault="00EA3BCB" w:rsidP="00710F2A">
            <w:pPr>
              <w:rPr>
                <w:b/>
              </w:rPr>
            </w:pPr>
            <w:r w:rsidRPr="000C1A29">
              <w:rPr>
                <w:b/>
              </w:rPr>
              <w:t>Process Name</w:t>
            </w:r>
          </w:p>
        </w:tc>
        <w:tc>
          <w:tcPr>
            <w:tcW w:w="6237" w:type="dxa"/>
            <w:shd w:val="clear" w:color="auto" w:fill="FFFFFF" w:themeFill="background1"/>
          </w:tcPr>
          <w:p w:rsidR="00EA3BCB" w:rsidRPr="00313B25" w:rsidRDefault="00B72044" w:rsidP="00710F2A">
            <w:pPr>
              <w:rPr>
                <w:color w:val="auto"/>
                <w:szCs w:val="18"/>
              </w:rPr>
            </w:pPr>
            <w:r w:rsidRPr="00313B25">
              <w:rPr>
                <w:color w:val="auto"/>
                <w:szCs w:val="18"/>
              </w:rPr>
              <w:t>Treasury and Cash Management</w:t>
            </w:r>
          </w:p>
        </w:tc>
      </w:tr>
      <w:tr w:rsidR="00403C6D"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403C6D" w:rsidRPr="000C1A29" w:rsidRDefault="00403C6D" w:rsidP="00710F2A">
            <w:pPr>
              <w:rPr>
                <w:b/>
              </w:rPr>
            </w:pPr>
            <w:r w:rsidRPr="000C1A29">
              <w:rPr>
                <w:b/>
              </w:rPr>
              <w:t>Process Owner</w:t>
            </w:r>
          </w:p>
        </w:tc>
        <w:tc>
          <w:tcPr>
            <w:tcW w:w="6237" w:type="dxa"/>
          </w:tcPr>
          <w:p w:rsidR="00403C6D" w:rsidRPr="00313B25" w:rsidRDefault="00B72044" w:rsidP="008836B7">
            <w:pPr>
              <w:rPr>
                <w:color w:val="auto"/>
                <w:highlight w:val="yellow"/>
              </w:rPr>
            </w:pPr>
            <w:r w:rsidRPr="00313B25">
              <w:rPr>
                <w:color w:val="auto"/>
              </w:rPr>
              <w:t xml:space="preserve">Kathryn Edwards </w:t>
            </w:r>
          </w:p>
        </w:tc>
      </w:tr>
      <w:tr w:rsidR="00EA3BCB"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EA3BCB" w:rsidRPr="000C1A29" w:rsidRDefault="00CA63E7" w:rsidP="00710F2A">
            <w:pPr>
              <w:rPr>
                <w:b/>
              </w:rPr>
            </w:pPr>
            <w:r>
              <w:rPr>
                <w:b/>
              </w:rPr>
              <w:t xml:space="preserve">Process  </w:t>
            </w:r>
            <w:r w:rsidR="00ED2689" w:rsidRPr="000C1A29">
              <w:rPr>
                <w:b/>
              </w:rPr>
              <w:t>Objective</w:t>
            </w:r>
          </w:p>
        </w:tc>
        <w:tc>
          <w:tcPr>
            <w:tcW w:w="6237" w:type="dxa"/>
          </w:tcPr>
          <w:p w:rsidR="00EA3BCB" w:rsidRPr="00313B25" w:rsidRDefault="00CA63E7" w:rsidP="003A1C6E">
            <w:pPr>
              <w:rPr>
                <w:color w:val="auto"/>
              </w:rPr>
            </w:pPr>
            <w:r w:rsidRPr="00313B25">
              <w:rPr>
                <w:color w:val="auto"/>
              </w:rPr>
              <w:t xml:space="preserve">Ensure </w:t>
            </w:r>
            <w:r w:rsidR="00B72044" w:rsidRPr="00313B25">
              <w:rPr>
                <w:color w:val="auto"/>
              </w:rPr>
              <w:t xml:space="preserve">cash and cash related assets are managed effectively and </w:t>
            </w:r>
            <w:r w:rsidR="003A1C6E" w:rsidRPr="00313B25">
              <w:rPr>
                <w:color w:val="auto"/>
              </w:rPr>
              <w:t>the amounts recorded in the ledger are accurate</w:t>
            </w:r>
            <w:r w:rsidR="00B72044" w:rsidRPr="00313B25">
              <w:rPr>
                <w:color w:val="auto"/>
              </w:rPr>
              <w:t xml:space="preserve"> and</w:t>
            </w:r>
            <w:r w:rsidR="003A1C6E" w:rsidRPr="00313B25">
              <w:rPr>
                <w:color w:val="auto"/>
              </w:rPr>
              <w:t xml:space="preserve"> complete.</w:t>
            </w:r>
            <w:r w:rsidR="00B72044" w:rsidRPr="00313B25">
              <w:rPr>
                <w:color w:val="auto"/>
              </w:rPr>
              <w:t xml:space="preserve"> </w:t>
            </w:r>
          </w:p>
        </w:tc>
      </w:tr>
      <w:tr w:rsidR="00EA3BCB"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EA3BCB" w:rsidRPr="000C1A29" w:rsidRDefault="00403C6D" w:rsidP="00710F2A">
            <w:pPr>
              <w:rPr>
                <w:b/>
              </w:rPr>
            </w:pPr>
            <w:r w:rsidRPr="000C1A29">
              <w:rPr>
                <w:b/>
              </w:rPr>
              <w:t>Process Scope</w:t>
            </w:r>
          </w:p>
        </w:tc>
        <w:tc>
          <w:tcPr>
            <w:tcW w:w="6237" w:type="dxa"/>
          </w:tcPr>
          <w:p w:rsidR="003B26F4" w:rsidRPr="00313B25" w:rsidRDefault="003A1C6E" w:rsidP="003A1C6E">
            <w:pPr>
              <w:jc w:val="both"/>
              <w:rPr>
                <w:color w:val="auto"/>
              </w:rPr>
            </w:pPr>
            <w:r w:rsidRPr="00313B25">
              <w:rPr>
                <w:color w:val="auto"/>
              </w:rPr>
              <w:t>The process includes:</w:t>
            </w:r>
          </w:p>
          <w:p w:rsidR="003A1C6E" w:rsidRPr="00313B25" w:rsidRDefault="004B6BE9" w:rsidP="004B6BE9">
            <w:pPr>
              <w:pStyle w:val="ListParagraph"/>
              <w:numPr>
                <w:ilvl w:val="0"/>
                <w:numId w:val="46"/>
              </w:numPr>
              <w:jc w:val="both"/>
              <w:rPr>
                <w:color w:val="auto"/>
              </w:rPr>
            </w:pPr>
            <w:r w:rsidRPr="00313B25">
              <w:rPr>
                <w:color w:val="auto"/>
              </w:rPr>
              <w:t xml:space="preserve">Maintaining </w:t>
            </w:r>
            <w:r w:rsidR="003A1C6E" w:rsidRPr="00313B25">
              <w:rPr>
                <w:color w:val="auto"/>
              </w:rPr>
              <w:t>banking relations or managing banking accounts and credit facilities</w:t>
            </w:r>
          </w:p>
          <w:p w:rsidR="003A1C6E" w:rsidRPr="00313B25" w:rsidRDefault="003A1C6E" w:rsidP="004B6BE9">
            <w:pPr>
              <w:pStyle w:val="ListParagraph"/>
              <w:numPr>
                <w:ilvl w:val="0"/>
                <w:numId w:val="46"/>
              </w:numPr>
              <w:jc w:val="both"/>
              <w:rPr>
                <w:color w:val="auto"/>
              </w:rPr>
            </w:pPr>
            <w:r w:rsidRPr="00313B25">
              <w:rPr>
                <w:color w:val="auto"/>
              </w:rPr>
              <w:t>Maintaining liquidity including cash forecasting</w:t>
            </w:r>
          </w:p>
          <w:p w:rsidR="003A1C6E" w:rsidRPr="00313B25" w:rsidRDefault="003A1C6E" w:rsidP="004B6BE9">
            <w:pPr>
              <w:pStyle w:val="ListParagraph"/>
              <w:numPr>
                <w:ilvl w:val="0"/>
                <w:numId w:val="46"/>
              </w:numPr>
              <w:jc w:val="both"/>
              <w:rPr>
                <w:color w:val="auto"/>
              </w:rPr>
            </w:pPr>
            <w:r w:rsidRPr="00313B25">
              <w:rPr>
                <w:color w:val="auto"/>
              </w:rPr>
              <w:t xml:space="preserve">Managing cash payments and receipts </w:t>
            </w:r>
          </w:p>
          <w:p w:rsidR="00FC032A" w:rsidRPr="00313B25" w:rsidRDefault="00FC032A" w:rsidP="004B6BE9">
            <w:pPr>
              <w:pStyle w:val="ListParagraph"/>
              <w:numPr>
                <w:ilvl w:val="0"/>
                <w:numId w:val="46"/>
              </w:numPr>
              <w:jc w:val="both"/>
              <w:rPr>
                <w:color w:val="auto"/>
              </w:rPr>
            </w:pPr>
            <w:r w:rsidRPr="00313B25">
              <w:rPr>
                <w:color w:val="auto"/>
              </w:rPr>
              <w:t>Hedging</w:t>
            </w:r>
          </w:p>
          <w:p w:rsidR="003A1C6E" w:rsidRPr="00313B25" w:rsidRDefault="003A1C6E" w:rsidP="003A1C6E">
            <w:pPr>
              <w:jc w:val="both"/>
              <w:rPr>
                <w:color w:val="auto"/>
              </w:rPr>
            </w:pPr>
          </w:p>
          <w:p w:rsidR="003A1C6E" w:rsidRPr="00313B25" w:rsidRDefault="003A1C6E" w:rsidP="003A1C6E">
            <w:pPr>
              <w:jc w:val="both"/>
              <w:rPr>
                <w:color w:val="auto"/>
              </w:rPr>
            </w:pPr>
            <w:r w:rsidRPr="00313B25">
              <w:rPr>
                <w:color w:val="auto"/>
              </w:rPr>
              <w:t xml:space="preserve">Investment of excess cash resources is excluded from </w:t>
            </w:r>
            <w:r w:rsidR="004B6BE9" w:rsidRPr="00313B25">
              <w:rPr>
                <w:color w:val="auto"/>
              </w:rPr>
              <w:t>this process. This is covered under the Investment process.</w:t>
            </w:r>
          </w:p>
        </w:tc>
      </w:tr>
    </w:tbl>
    <w:p w:rsidR="00CA63E7" w:rsidRDefault="00CA63E7" w:rsidP="00E707D7">
      <w:pPr>
        <w:pStyle w:val="IntroductionSmall"/>
      </w:pPr>
    </w:p>
    <w:p w:rsidR="00E707D7" w:rsidRPr="00A14386" w:rsidRDefault="00ED2689" w:rsidP="00E707D7">
      <w:pPr>
        <w:pStyle w:val="IntroductionSmall"/>
        <w:rPr>
          <w:b/>
        </w:rPr>
      </w:pPr>
      <w:r w:rsidRPr="00A14386">
        <w:rPr>
          <w:b/>
        </w:rPr>
        <w:t>Summary of Findings and Recommendations</w:t>
      </w:r>
    </w:p>
    <w:p w:rsidR="00E707D7" w:rsidRDefault="00E707D7" w:rsidP="00E707D7">
      <w:r>
        <w:t>Below is a list of findings or recommendations identified</w:t>
      </w:r>
      <w:r w:rsidR="00CA63E7">
        <w:t xml:space="preserve"> in the process:</w:t>
      </w:r>
    </w:p>
    <w:p w:rsidR="00CA63E7" w:rsidRDefault="00CA63E7" w:rsidP="00E707D7"/>
    <w:tbl>
      <w:tblPr>
        <w:tblW w:w="8910"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709"/>
        <w:gridCol w:w="5954"/>
        <w:gridCol w:w="2247"/>
      </w:tblGrid>
      <w:tr w:rsidR="00E707D7" w:rsidRPr="00CD4F32" w:rsidTr="00456B90">
        <w:trPr>
          <w:trHeight w:val="640"/>
          <w:tblHeader/>
        </w:trPr>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ED2689">
            <w:pPr>
              <w:rPr>
                <w:b/>
              </w:rPr>
            </w:pPr>
          </w:p>
        </w:tc>
        <w:tc>
          <w:tcPr>
            <w:tcW w:w="5954"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D77F32">
            <w:pPr>
              <w:jc w:val="center"/>
              <w:rPr>
                <w:b/>
              </w:rPr>
            </w:pPr>
            <w:r w:rsidRPr="00D77F32">
              <w:rPr>
                <w:b/>
              </w:rPr>
              <w:t>Summary Details</w:t>
            </w:r>
          </w:p>
          <w:p w:rsidR="00E707D7" w:rsidRPr="00D77F32" w:rsidRDefault="00E707D7" w:rsidP="00D77F32">
            <w:pPr>
              <w:jc w:val="center"/>
              <w:rPr>
                <w:b/>
              </w:rPr>
            </w:pPr>
          </w:p>
        </w:tc>
        <w:tc>
          <w:tcPr>
            <w:tcW w:w="2247"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D77F32" w:rsidRPr="00D77F32" w:rsidRDefault="00D77F32" w:rsidP="00D77F32">
            <w:pPr>
              <w:jc w:val="center"/>
              <w:rPr>
                <w:b/>
              </w:rPr>
            </w:pPr>
            <w:r w:rsidRPr="00D77F32">
              <w:rPr>
                <w:b/>
              </w:rPr>
              <w:t>Classification</w:t>
            </w:r>
          </w:p>
          <w:p w:rsidR="00E707D7" w:rsidRPr="00D77F32" w:rsidRDefault="00D77F32" w:rsidP="00D77F32">
            <w:pPr>
              <w:jc w:val="center"/>
              <w:rPr>
                <w:i/>
              </w:rPr>
            </w:pPr>
            <w:r w:rsidRPr="00D77F32">
              <w:rPr>
                <w:i/>
              </w:rPr>
              <w:t>(</w:t>
            </w:r>
            <w:r w:rsidR="00E707D7" w:rsidRPr="00D77F32">
              <w:rPr>
                <w:i/>
              </w:rPr>
              <w:t>design gap, control gap, process improvement)</w:t>
            </w:r>
          </w:p>
        </w:tc>
      </w:tr>
      <w:tr w:rsidR="00E707D7" w:rsidRPr="00CD4F32" w:rsidTr="005B2B15">
        <w:trPr>
          <w:trHeight w:val="238"/>
        </w:trPr>
        <w:tc>
          <w:tcPr>
            <w:tcW w:w="709" w:type="dxa"/>
            <w:tcBorders>
              <w:top w:val="single" w:sz="6" w:space="0" w:color="666666"/>
              <w:left w:val="single" w:sz="6" w:space="0" w:color="666666"/>
              <w:bottom w:val="nil"/>
              <w:right w:val="single" w:sz="6" w:space="0" w:color="666666"/>
              <w:tl2br w:val="nil"/>
              <w:tr2bl w:val="nil"/>
            </w:tcBorders>
            <w:shd w:val="clear" w:color="auto" w:fill="FFFFFF" w:themeFill="background1"/>
          </w:tcPr>
          <w:p w:rsidR="00E707D7" w:rsidRPr="00313B25" w:rsidRDefault="00E707D7" w:rsidP="00ED2689">
            <w:pPr>
              <w:rPr>
                <w:color w:val="auto"/>
              </w:rPr>
            </w:pPr>
            <w:r w:rsidRPr="00313B25">
              <w:rPr>
                <w:color w:val="auto"/>
              </w:rPr>
              <w:t>1</w:t>
            </w:r>
          </w:p>
        </w:tc>
        <w:tc>
          <w:tcPr>
            <w:tcW w:w="5954" w:type="dxa"/>
          </w:tcPr>
          <w:p w:rsidR="00EF79B0" w:rsidRPr="00313B25" w:rsidRDefault="00C77627" w:rsidP="00BC4057">
            <w:pPr>
              <w:rPr>
                <w:color w:val="auto"/>
                <w:sz w:val="24"/>
                <w:szCs w:val="24"/>
              </w:rPr>
            </w:pPr>
            <w:r w:rsidRPr="00C77627">
              <w:rPr>
                <w:color w:val="auto"/>
              </w:rPr>
              <w:t>A list of bank accounts being used globally is maintained by Finance on a spreadsheet. The list is updated with any bank accounts opened or closed. The list also shows account payment authorisers for each bank account. To ensure that this list is up to date, it is recommended that an annual reconciliation of the bank accounts on the list to external bank confirmations requested by external auditors and accounts in Agresso is completed.  Also Group Finance should review the list against submissions of payment authorisers from all locations to ensure that there are adequate numbers of payment authorisers with appropriate level of experience for each bank account.</w:t>
            </w:r>
          </w:p>
        </w:tc>
        <w:tc>
          <w:tcPr>
            <w:tcW w:w="2247" w:type="dxa"/>
          </w:tcPr>
          <w:p w:rsidR="00E707D7" w:rsidRPr="00313B25" w:rsidRDefault="00EF79B0" w:rsidP="00ED2689">
            <w:pPr>
              <w:rPr>
                <w:color w:val="auto"/>
                <w:sz w:val="24"/>
                <w:szCs w:val="24"/>
              </w:rPr>
            </w:pPr>
            <w:r w:rsidRPr="00313B25">
              <w:rPr>
                <w:color w:val="auto"/>
              </w:rPr>
              <w:t>control gap</w:t>
            </w:r>
          </w:p>
        </w:tc>
      </w:tr>
      <w:tr w:rsidR="00E707D7" w:rsidRPr="00CD4F32" w:rsidTr="005B2B15">
        <w:trPr>
          <w:trHeight w:val="238"/>
        </w:trPr>
        <w:tc>
          <w:tcPr>
            <w:tcW w:w="709" w:type="dxa"/>
            <w:tcBorders>
              <w:left w:val="single" w:sz="6" w:space="0" w:color="666666"/>
              <w:right w:val="single" w:sz="6" w:space="0" w:color="666666"/>
              <w:tl2br w:val="nil"/>
              <w:tr2bl w:val="nil"/>
            </w:tcBorders>
            <w:shd w:val="clear" w:color="auto" w:fill="FFFFFF" w:themeFill="background1"/>
          </w:tcPr>
          <w:p w:rsidR="00E707D7" w:rsidRPr="00313B25" w:rsidRDefault="00E707D7" w:rsidP="00ED2689">
            <w:pPr>
              <w:rPr>
                <w:color w:val="auto"/>
              </w:rPr>
            </w:pPr>
            <w:r w:rsidRPr="00313B25">
              <w:rPr>
                <w:color w:val="auto"/>
              </w:rPr>
              <w:t>2</w:t>
            </w:r>
          </w:p>
        </w:tc>
        <w:tc>
          <w:tcPr>
            <w:tcW w:w="5954" w:type="dxa"/>
          </w:tcPr>
          <w:p w:rsidR="00E707D7" w:rsidRPr="00313B25" w:rsidRDefault="00C77627" w:rsidP="00ED2689">
            <w:pPr>
              <w:rPr>
                <w:color w:val="auto"/>
                <w:highlight w:val="yellow"/>
              </w:rPr>
            </w:pPr>
            <w:r w:rsidRPr="00C77627">
              <w:rPr>
                <w:color w:val="auto"/>
              </w:rPr>
              <w:t>There a risk that the BACS payments file may be manually manipulated whilst stored on the application server: \\UKPRAP071\DATA EXPORT\BACS during the payment process. It is recommended that access to the server is restricted.</w:t>
            </w:r>
          </w:p>
        </w:tc>
        <w:tc>
          <w:tcPr>
            <w:tcW w:w="2247" w:type="dxa"/>
          </w:tcPr>
          <w:p w:rsidR="00E707D7" w:rsidRPr="00313B25" w:rsidRDefault="002B5F4C" w:rsidP="00ED2689">
            <w:pPr>
              <w:rPr>
                <w:color w:val="auto"/>
              </w:rPr>
            </w:pPr>
            <w:r w:rsidRPr="00313B25">
              <w:rPr>
                <w:color w:val="auto"/>
              </w:rPr>
              <w:t>control gap</w:t>
            </w:r>
          </w:p>
        </w:tc>
      </w:tr>
      <w:tr w:rsidR="00E707D7" w:rsidRPr="00CD4F32" w:rsidTr="005B2B15">
        <w:trPr>
          <w:trHeight w:val="238"/>
        </w:trPr>
        <w:tc>
          <w:tcPr>
            <w:tcW w:w="709" w:type="dxa"/>
            <w:tcBorders>
              <w:left w:val="single" w:sz="6" w:space="0" w:color="666666"/>
              <w:right w:val="single" w:sz="6" w:space="0" w:color="666666"/>
              <w:tl2br w:val="nil"/>
              <w:tr2bl w:val="nil"/>
            </w:tcBorders>
            <w:shd w:val="clear" w:color="auto" w:fill="FFFFFF" w:themeFill="background1"/>
          </w:tcPr>
          <w:p w:rsidR="00E707D7" w:rsidRPr="00313B25" w:rsidRDefault="00E707D7" w:rsidP="00ED2689">
            <w:pPr>
              <w:rPr>
                <w:color w:val="auto"/>
              </w:rPr>
            </w:pPr>
            <w:r w:rsidRPr="00313B25">
              <w:rPr>
                <w:color w:val="auto"/>
              </w:rPr>
              <w:t>3</w:t>
            </w:r>
          </w:p>
        </w:tc>
        <w:tc>
          <w:tcPr>
            <w:tcW w:w="5954" w:type="dxa"/>
          </w:tcPr>
          <w:p w:rsidR="00E707D7" w:rsidRPr="00313B25" w:rsidRDefault="009A0312" w:rsidP="00ED2689">
            <w:pPr>
              <w:rPr>
                <w:color w:val="auto"/>
              </w:rPr>
            </w:pPr>
            <w:r w:rsidRPr="00313B25">
              <w:rPr>
                <w:color w:val="auto"/>
              </w:rPr>
              <w:t>There is a risk that some direct debit</w:t>
            </w:r>
            <w:r w:rsidR="00C77627">
              <w:rPr>
                <w:color w:val="auto"/>
              </w:rPr>
              <w:t xml:space="preserve"> payments</w:t>
            </w:r>
            <w:r w:rsidRPr="00313B25">
              <w:rPr>
                <w:color w:val="auto"/>
              </w:rPr>
              <w:t xml:space="preserve"> may continue to be paid to suppliers after service or contract has ceased. We recommend that Accounts Payable team annually review the list of direct debit payments to ensure the service/contract is still active and required.</w:t>
            </w:r>
          </w:p>
        </w:tc>
        <w:tc>
          <w:tcPr>
            <w:tcW w:w="2247" w:type="dxa"/>
          </w:tcPr>
          <w:p w:rsidR="00E707D7" w:rsidRPr="00313B25" w:rsidRDefault="009A0312" w:rsidP="00ED2689">
            <w:pPr>
              <w:rPr>
                <w:color w:val="auto"/>
              </w:rPr>
            </w:pPr>
            <w:r w:rsidRPr="00313B25">
              <w:rPr>
                <w:color w:val="auto"/>
              </w:rPr>
              <w:t>control gap</w:t>
            </w:r>
          </w:p>
        </w:tc>
      </w:tr>
      <w:tr w:rsidR="00E707D7" w:rsidRPr="00CD4F32" w:rsidTr="005B2B15">
        <w:trPr>
          <w:trHeight w:val="15"/>
        </w:trPr>
        <w:tc>
          <w:tcPr>
            <w:tcW w:w="709" w:type="dxa"/>
            <w:tcBorders>
              <w:left w:val="single" w:sz="6" w:space="0" w:color="666666"/>
              <w:right w:val="single" w:sz="6" w:space="0" w:color="666666"/>
              <w:tl2br w:val="nil"/>
              <w:tr2bl w:val="nil"/>
            </w:tcBorders>
            <w:shd w:val="clear" w:color="auto" w:fill="FFFFFF" w:themeFill="background1"/>
          </w:tcPr>
          <w:p w:rsidR="00E707D7" w:rsidRPr="00313B25" w:rsidRDefault="00E707D7" w:rsidP="00ED2689">
            <w:pPr>
              <w:rPr>
                <w:color w:val="auto"/>
              </w:rPr>
            </w:pPr>
            <w:r w:rsidRPr="00313B25">
              <w:rPr>
                <w:color w:val="auto"/>
              </w:rPr>
              <w:t>4</w:t>
            </w:r>
          </w:p>
        </w:tc>
        <w:tc>
          <w:tcPr>
            <w:tcW w:w="5954" w:type="dxa"/>
          </w:tcPr>
          <w:p w:rsidR="002E4327" w:rsidRPr="00313B25" w:rsidRDefault="009A0312" w:rsidP="002E4327">
            <w:pPr>
              <w:jc w:val="both"/>
              <w:rPr>
                <w:color w:val="auto"/>
              </w:rPr>
            </w:pPr>
            <w:r w:rsidRPr="00313B25">
              <w:rPr>
                <w:color w:val="auto"/>
              </w:rPr>
              <w:t>Deutsche Bank statements are currently on a book date value rather than the value date.  Bank confirmations which are requeste</w:t>
            </w:r>
            <w:bookmarkStart w:id="0" w:name="_GoBack"/>
            <w:bookmarkEnd w:id="0"/>
            <w:r w:rsidRPr="00313B25">
              <w:rPr>
                <w:color w:val="auto"/>
              </w:rPr>
              <w:t>d by the external auditors are on value date and there could potentially be a material difference between the two.</w:t>
            </w:r>
          </w:p>
          <w:p w:rsidR="009A0312" w:rsidRPr="00313B25" w:rsidRDefault="009A0312" w:rsidP="002E4327">
            <w:pPr>
              <w:jc w:val="both"/>
              <w:rPr>
                <w:color w:val="auto"/>
              </w:rPr>
            </w:pPr>
            <w:r w:rsidRPr="00313B25">
              <w:rPr>
                <w:color w:val="auto"/>
              </w:rPr>
              <w:t xml:space="preserve">We recommend annual reconciliation for Deutsche bank </w:t>
            </w:r>
            <w:r w:rsidRPr="00313B25">
              <w:rPr>
                <w:color w:val="auto"/>
              </w:rPr>
              <w:lastRenderedPageBreak/>
              <w:t>accounts bank statement to bank confirmations and posting of any material differences.</w:t>
            </w:r>
          </w:p>
        </w:tc>
        <w:tc>
          <w:tcPr>
            <w:tcW w:w="2247" w:type="dxa"/>
          </w:tcPr>
          <w:p w:rsidR="00E707D7" w:rsidRPr="00313B25" w:rsidRDefault="00456B90" w:rsidP="00456B90">
            <w:pPr>
              <w:jc w:val="both"/>
              <w:rPr>
                <w:i/>
                <w:color w:val="auto"/>
              </w:rPr>
            </w:pPr>
            <w:r w:rsidRPr="00313B25">
              <w:rPr>
                <w:color w:val="auto"/>
              </w:rPr>
              <w:lastRenderedPageBreak/>
              <w:t>control gap</w:t>
            </w:r>
          </w:p>
        </w:tc>
      </w:tr>
      <w:tr w:rsidR="009A0312" w:rsidRPr="00CD4F32" w:rsidTr="005B2B15">
        <w:trPr>
          <w:trHeight w:val="15"/>
        </w:trPr>
        <w:tc>
          <w:tcPr>
            <w:tcW w:w="709" w:type="dxa"/>
            <w:tcBorders>
              <w:left w:val="single" w:sz="6" w:space="0" w:color="666666"/>
              <w:right w:val="single" w:sz="6" w:space="0" w:color="666666"/>
              <w:tl2br w:val="nil"/>
              <w:tr2bl w:val="nil"/>
            </w:tcBorders>
            <w:shd w:val="clear" w:color="auto" w:fill="FFFFFF" w:themeFill="background1"/>
          </w:tcPr>
          <w:p w:rsidR="009A0312" w:rsidRPr="00313B25" w:rsidRDefault="00456B90" w:rsidP="00ED2689">
            <w:pPr>
              <w:rPr>
                <w:color w:val="auto"/>
              </w:rPr>
            </w:pPr>
            <w:r w:rsidRPr="00313B25">
              <w:rPr>
                <w:color w:val="auto"/>
              </w:rPr>
              <w:lastRenderedPageBreak/>
              <w:t>5</w:t>
            </w:r>
          </w:p>
        </w:tc>
        <w:tc>
          <w:tcPr>
            <w:tcW w:w="5954" w:type="dxa"/>
          </w:tcPr>
          <w:p w:rsidR="009A0312" w:rsidRPr="00313B25" w:rsidRDefault="00456B90" w:rsidP="002E4327">
            <w:pPr>
              <w:jc w:val="both"/>
              <w:rPr>
                <w:color w:val="auto"/>
              </w:rPr>
            </w:pPr>
            <w:r w:rsidRPr="00313B25">
              <w:rPr>
                <w:color w:val="auto"/>
              </w:rPr>
              <w:t>The last banking service providers review was completed in 2014. Consider having such reviews on a scheduled timetable so that the reviews are completed on a set periodic basis</w:t>
            </w:r>
          </w:p>
        </w:tc>
        <w:tc>
          <w:tcPr>
            <w:tcW w:w="2247" w:type="dxa"/>
          </w:tcPr>
          <w:p w:rsidR="009A0312" w:rsidRPr="00313B25" w:rsidRDefault="00456B90" w:rsidP="00ED2689">
            <w:pPr>
              <w:jc w:val="both"/>
              <w:rPr>
                <w:color w:val="auto"/>
              </w:rPr>
            </w:pPr>
            <w:r w:rsidRPr="00313B25">
              <w:rPr>
                <w:color w:val="auto"/>
              </w:rPr>
              <w:t>process improvement</w:t>
            </w:r>
          </w:p>
        </w:tc>
      </w:tr>
      <w:tr w:rsidR="00456B90" w:rsidRPr="00CD4F32" w:rsidTr="005B2B15">
        <w:trPr>
          <w:trHeight w:val="15"/>
        </w:trPr>
        <w:tc>
          <w:tcPr>
            <w:tcW w:w="709" w:type="dxa"/>
            <w:tcBorders>
              <w:left w:val="single" w:sz="6" w:space="0" w:color="666666"/>
              <w:right w:val="single" w:sz="6" w:space="0" w:color="666666"/>
              <w:tl2br w:val="nil"/>
              <w:tr2bl w:val="nil"/>
            </w:tcBorders>
            <w:shd w:val="clear" w:color="auto" w:fill="FFFFFF" w:themeFill="background1"/>
          </w:tcPr>
          <w:p w:rsidR="00456B90" w:rsidRPr="00313B25" w:rsidRDefault="00456B90" w:rsidP="00ED2689">
            <w:pPr>
              <w:rPr>
                <w:color w:val="auto"/>
              </w:rPr>
            </w:pPr>
            <w:r w:rsidRPr="00313B25">
              <w:rPr>
                <w:color w:val="auto"/>
              </w:rPr>
              <w:t>6</w:t>
            </w:r>
          </w:p>
        </w:tc>
        <w:tc>
          <w:tcPr>
            <w:tcW w:w="5954" w:type="dxa"/>
          </w:tcPr>
          <w:p w:rsidR="00456B90" w:rsidRPr="00313B25" w:rsidRDefault="00456B90" w:rsidP="002E4327">
            <w:pPr>
              <w:jc w:val="both"/>
              <w:rPr>
                <w:color w:val="auto"/>
              </w:rPr>
            </w:pPr>
            <w:r w:rsidRPr="00313B25">
              <w:rPr>
                <w:color w:val="auto"/>
              </w:rPr>
              <w:t>The quarterly review of banking providers of Letter of Credit (LOC) is currently not a global process. Consider extending this review to all global locations.</w:t>
            </w:r>
          </w:p>
        </w:tc>
        <w:tc>
          <w:tcPr>
            <w:tcW w:w="2247" w:type="dxa"/>
          </w:tcPr>
          <w:p w:rsidR="00456B90" w:rsidRPr="00313B25" w:rsidRDefault="00456B90" w:rsidP="00ED2689">
            <w:pPr>
              <w:jc w:val="both"/>
              <w:rPr>
                <w:color w:val="auto"/>
              </w:rPr>
            </w:pPr>
            <w:r w:rsidRPr="00313B25">
              <w:rPr>
                <w:color w:val="auto"/>
              </w:rPr>
              <w:t>process improvement</w:t>
            </w:r>
          </w:p>
        </w:tc>
      </w:tr>
      <w:tr w:rsidR="00456B90" w:rsidRPr="00CD4F32" w:rsidTr="005B2B15">
        <w:trPr>
          <w:trHeight w:val="15"/>
        </w:trPr>
        <w:tc>
          <w:tcPr>
            <w:tcW w:w="709" w:type="dxa"/>
            <w:tcBorders>
              <w:left w:val="single" w:sz="6" w:space="0" w:color="666666"/>
              <w:right w:val="single" w:sz="6" w:space="0" w:color="666666"/>
              <w:tl2br w:val="nil"/>
              <w:tr2bl w:val="nil"/>
            </w:tcBorders>
            <w:shd w:val="clear" w:color="auto" w:fill="FFFFFF" w:themeFill="background1"/>
          </w:tcPr>
          <w:p w:rsidR="00456B90" w:rsidRPr="00313B25" w:rsidRDefault="00456B90" w:rsidP="00ED2689">
            <w:pPr>
              <w:rPr>
                <w:color w:val="auto"/>
              </w:rPr>
            </w:pPr>
            <w:r w:rsidRPr="00313B25">
              <w:rPr>
                <w:color w:val="auto"/>
              </w:rPr>
              <w:t>7</w:t>
            </w:r>
          </w:p>
        </w:tc>
        <w:tc>
          <w:tcPr>
            <w:tcW w:w="5954" w:type="dxa"/>
          </w:tcPr>
          <w:p w:rsidR="00456B90" w:rsidRPr="00313B25" w:rsidRDefault="00456B90" w:rsidP="002E4327">
            <w:pPr>
              <w:jc w:val="both"/>
              <w:rPr>
                <w:color w:val="auto"/>
              </w:rPr>
            </w:pPr>
            <w:r w:rsidRPr="00313B25">
              <w:rPr>
                <w:color w:val="auto"/>
              </w:rPr>
              <w:t xml:space="preserve">As part of the </w:t>
            </w:r>
            <w:r w:rsidR="00082645" w:rsidRPr="00313B25">
              <w:rPr>
                <w:color w:val="auto"/>
              </w:rPr>
              <w:t>leavers’</w:t>
            </w:r>
            <w:r w:rsidRPr="00313B25">
              <w:rPr>
                <w:color w:val="auto"/>
              </w:rPr>
              <w:t xml:space="preserve"> process</w:t>
            </w:r>
            <w:r w:rsidR="00082645" w:rsidRPr="00313B25">
              <w:rPr>
                <w:color w:val="auto"/>
              </w:rPr>
              <w:t>, managers are required to confirm to IT Support whether the leaver had access to approve payments on Deutsche bank account. This is to ensure that the access is removed. Consider extending the access confirmation process over Deutsche bank to include all bank accounts and other systems e.g. Barclaycard system and Moneycorp system.</w:t>
            </w:r>
          </w:p>
        </w:tc>
        <w:tc>
          <w:tcPr>
            <w:tcW w:w="2247" w:type="dxa"/>
          </w:tcPr>
          <w:p w:rsidR="00456B90" w:rsidRPr="00313B25" w:rsidRDefault="00082645" w:rsidP="00ED2689">
            <w:pPr>
              <w:jc w:val="both"/>
              <w:rPr>
                <w:color w:val="auto"/>
              </w:rPr>
            </w:pPr>
            <w:r w:rsidRPr="00313B25">
              <w:rPr>
                <w:color w:val="auto"/>
              </w:rPr>
              <w:t>process improvement</w:t>
            </w:r>
          </w:p>
        </w:tc>
      </w:tr>
      <w:tr w:rsidR="00082645" w:rsidRPr="00CD4F32" w:rsidTr="005B2B15">
        <w:trPr>
          <w:trHeight w:val="15"/>
        </w:trPr>
        <w:tc>
          <w:tcPr>
            <w:tcW w:w="709" w:type="dxa"/>
            <w:tcBorders>
              <w:left w:val="single" w:sz="6" w:space="0" w:color="666666"/>
              <w:right w:val="single" w:sz="6" w:space="0" w:color="666666"/>
              <w:tl2br w:val="nil"/>
              <w:tr2bl w:val="nil"/>
            </w:tcBorders>
            <w:shd w:val="clear" w:color="auto" w:fill="FFFFFF" w:themeFill="background1"/>
          </w:tcPr>
          <w:p w:rsidR="00082645" w:rsidRPr="00313B25" w:rsidRDefault="00082645" w:rsidP="00ED2689">
            <w:pPr>
              <w:rPr>
                <w:color w:val="auto"/>
              </w:rPr>
            </w:pPr>
            <w:r w:rsidRPr="00313B25">
              <w:rPr>
                <w:color w:val="auto"/>
              </w:rPr>
              <w:t>8</w:t>
            </w:r>
          </w:p>
        </w:tc>
        <w:tc>
          <w:tcPr>
            <w:tcW w:w="5954" w:type="dxa"/>
          </w:tcPr>
          <w:p w:rsidR="00082645" w:rsidRPr="00313B25" w:rsidRDefault="00082645" w:rsidP="002E4327">
            <w:pPr>
              <w:jc w:val="both"/>
              <w:rPr>
                <w:color w:val="auto"/>
              </w:rPr>
            </w:pPr>
            <w:r w:rsidRPr="00313B25">
              <w:rPr>
                <w:color w:val="auto"/>
              </w:rPr>
              <w:t>There is no formal checklist for closing a bank account. There is a risk that some tasks my not be appropriately complet</w:t>
            </w:r>
            <w:r w:rsidR="00D30959" w:rsidRPr="00313B25">
              <w:rPr>
                <w:color w:val="auto"/>
              </w:rPr>
              <w:t xml:space="preserve">ed when closing a bank account. </w:t>
            </w:r>
            <w:r w:rsidRPr="00313B25">
              <w:rPr>
                <w:color w:val="auto"/>
              </w:rPr>
              <w:t>Suggest create a checklist is maintained and reviewed by a senior management before a bank account is closed.</w:t>
            </w:r>
          </w:p>
        </w:tc>
        <w:tc>
          <w:tcPr>
            <w:tcW w:w="2247" w:type="dxa"/>
          </w:tcPr>
          <w:p w:rsidR="00082645" w:rsidRPr="00313B25" w:rsidRDefault="00D30959" w:rsidP="00ED2689">
            <w:pPr>
              <w:jc w:val="both"/>
              <w:rPr>
                <w:color w:val="auto"/>
              </w:rPr>
            </w:pPr>
            <w:r w:rsidRPr="00313B25">
              <w:rPr>
                <w:color w:val="auto"/>
              </w:rPr>
              <w:t>process improvement</w:t>
            </w:r>
          </w:p>
        </w:tc>
      </w:tr>
      <w:tr w:rsidR="006A5A92" w:rsidRPr="00CD4F32" w:rsidTr="005B2B15">
        <w:trPr>
          <w:trHeight w:val="15"/>
        </w:trPr>
        <w:tc>
          <w:tcPr>
            <w:tcW w:w="709" w:type="dxa"/>
            <w:tcBorders>
              <w:left w:val="single" w:sz="6" w:space="0" w:color="666666"/>
              <w:right w:val="single" w:sz="6" w:space="0" w:color="666666"/>
              <w:tl2br w:val="nil"/>
              <w:tr2bl w:val="nil"/>
            </w:tcBorders>
            <w:shd w:val="clear" w:color="auto" w:fill="FFFFFF" w:themeFill="background1"/>
          </w:tcPr>
          <w:p w:rsidR="006A5A92" w:rsidRPr="00313B25" w:rsidRDefault="003900F3" w:rsidP="00ED2689">
            <w:pPr>
              <w:rPr>
                <w:color w:val="auto"/>
              </w:rPr>
            </w:pPr>
            <w:r>
              <w:rPr>
                <w:color w:val="auto"/>
              </w:rPr>
              <w:t>10</w:t>
            </w:r>
          </w:p>
        </w:tc>
        <w:tc>
          <w:tcPr>
            <w:tcW w:w="5954" w:type="dxa"/>
          </w:tcPr>
          <w:p w:rsidR="006A5A92" w:rsidRPr="00313B25" w:rsidRDefault="000B60CB" w:rsidP="0054072B">
            <w:pPr>
              <w:jc w:val="both"/>
              <w:rPr>
                <w:color w:val="auto"/>
              </w:rPr>
            </w:pPr>
            <w:r>
              <w:rPr>
                <w:color w:val="auto"/>
              </w:rPr>
              <w:t>In some instances there are different bank accounts of the</w:t>
            </w:r>
            <w:r w:rsidR="006A5A92">
              <w:rPr>
                <w:color w:val="auto"/>
              </w:rPr>
              <w:t xml:space="preserve"> same currency</w:t>
            </w:r>
            <w:r>
              <w:rPr>
                <w:color w:val="auto"/>
              </w:rPr>
              <w:t xml:space="preserve"> which are under with same general ledger</w:t>
            </w:r>
            <w:r w:rsidR="006A5A92">
              <w:rPr>
                <w:color w:val="auto"/>
              </w:rPr>
              <w:t xml:space="preserve"> code. </w:t>
            </w:r>
            <w:r>
              <w:rPr>
                <w:color w:val="auto"/>
              </w:rPr>
              <w:t xml:space="preserve">This makes it difficult uniquely identify each bank account. Suggest using a unique general ledger </w:t>
            </w:r>
            <w:r w:rsidR="006A5A92">
              <w:rPr>
                <w:color w:val="auto"/>
              </w:rPr>
              <w:t>code within each entity for</w:t>
            </w:r>
            <w:r>
              <w:rPr>
                <w:color w:val="auto"/>
              </w:rPr>
              <w:t xml:space="preserve"> each unique bank account</w:t>
            </w:r>
            <w:r w:rsidR="006A5A92">
              <w:rPr>
                <w:color w:val="auto"/>
              </w:rPr>
              <w:t xml:space="preserve">. </w:t>
            </w:r>
            <w:r w:rsidR="0054072B">
              <w:rPr>
                <w:color w:val="auto"/>
              </w:rPr>
              <w:t>Finance should maintain the</w:t>
            </w:r>
            <w:r w:rsidR="006A5A92">
              <w:rPr>
                <w:color w:val="auto"/>
              </w:rPr>
              <w:t xml:space="preserve"> </w:t>
            </w:r>
            <w:r w:rsidR="003900F3">
              <w:rPr>
                <w:color w:val="auto"/>
              </w:rPr>
              <w:t>spread sheet</w:t>
            </w:r>
            <w:r>
              <w:rPr>
                <w:color w:val="auto"/>
              </w:rPr>
              <w:t xml:space="preserve"> showing each bank account and the associated general ledger code</w:t>
            </w:r>
            <w:r w:rsidR="0054072B">
              <w:rPr>
                <w:color w:val="auto"/>
              </w:rPr>
              <w:t xml:space="preserve"> and </w:t>
            </w:r>
            <w:r>
              <w:rPr>
                <w:color w:val="auto"/>
              </w:rPr>
              <w:t>balances</w:t>
            </w:r>
            <w:r w:rsidR="0054072B">
              <w:rPr>
                <w:color w:val="auto"/>
              </w:rPr>
              <w:t xml:space="preserve"> to help</w:t>
            </w:r>
            <w:r>
              <w:rPr>
                <w:color w:val="auto"/>
              </w:rPr>
              <w:t xml:space="preserve"> in the short term.</w:t>
            </w:r>
          </w:p>
        </w:tc>
        <w:tc>
          <w:tcPr>
            <w:tcW w:w="2247" w:type="dxa"/>
          </w:tcPr>
          <w:p w:rsidR="006A5A92" w:rsidRPr="00313B25" w:rsidRDefault="003900F3" w:rsidP="00ED2689">
            <w:pPr>
              <w:jc w:val="both"/>
              <w:rPr>
                <w:color w:val="auto"/>
              </w:rPr>
            </w:pPr>
            <w:r w:rsidRPr="00313B25">
              <w:rPr>
                <w:color w:val="auto"/>
              </w:rPr>
              <w:t>process improvement</w:t>
            </w:r>
          </w:p>
        </w:tc>
      </w:tr>
      <w:tr w:rsidR="006A5A92" w:rsidRPr="00CD4F32" w:rsidTr="005B2B15">
        <w:trPr>
          <w:trHeight w:val="15"/>
        </w:trPr>
        <w:tc>
          <w:tcPr>
            <w:tcW w:w="709" w:type="dxa"/>
            <w:tcBorders>
              <w:left w:val="single" w:sz="6" w:space="0" w:color="666666"/>
              <w:right w:val="single" w:sz="6" w:space="0" w:color="666666"/>
              <w:tl2br w:val="nil"/>
              <w:tr2bl w:val="nil"/>
            </w:tcBorders>
            <w:shd w:val="clear" w:color="auto" w:fill="FFFFFF" w:themeFill="background1"/>
          </w:tcPr>
          <w:p w:rsidR="006A5A92" w:rsidRPr="00313B25" w:rsidRDefault="003900F3" w:rsidP="00ED2689">
            <w:pPr>
              <w:rPr>
                <w:color w:val="auto"/>
              </w:rPr>
            </w:pPr>
            <w:r>
              <w:rPr>
                <w:color w:val="auto"/>
              </w:rPr>
              <w:t>11</w:t>
            </w:r>
          </w:p>
        </w:tc>
        <w:tc>
          <w:tcPr>
            <w:tcW w:w="5954" w:type="dxa"/>
          </w:tcPr>
          <w:p w:rsidR="006A5A92" w:rsidRPr="00313B25" w:rsidRDefault="000B60CB" w:rsidP="006A5A92">
            <w:pPr>
              <w:jc w:val="both"/>
              <w:rPr>
                <w:color w:val="auto"/>
              </w:rPr>
            </w:pPr>
            <w:r>
              <w:rPr>
                <w:color w:val="auto"/>
              </w:rPr>
              <w:t xml:space="preserve">Some </w:t>
            </w:r>
            <w:r w:rsidR="003868D0">
              <w:rPr>
                <w:color w:val="auto"/>
              </w:rPr>
              <w:t>conversions of foreign currency denominated bank accounts to the reporting currencies are</w:t>
            </w:r>
            <w:r>
              <w:rPr>
                <w:color w:val="auto"/>
              </w:rPr>
              <w:t xml:space="preserve"> being done</w:t>
            </w:r>
            <w:r w:rsidR="006A5A92">
              <w:rPr>
                <w:color w:val="auto"/>
              </w:rPr>
              <w:t xml:space="preserve"> outside of Agresso. </w:t>
            </w:r>
            <w:r>
              <w:rPr>
                <w:color w:val="auto"/>
              </w:rPr>
              <w:t>This makes it d</w:t>
            </w:r>
            <w:r w:rsidR="006A5A92">
              <w:rPr>
                <w:color w:val="auto"/>
              </w:rPr>
              <w:t>ifficult to agree the bank balances</w:t>
            </w:r>
            <w:r>
              <w:rPr>
                <w:color w:val="auto"/>
              </w:rPr>
              <w:t xml:space="preserve"> to the bank statements</w:t>
            </w:r>
            <w:r w:rsidR="006A5A92">
              <w:rPr>
                <w:color w:val="auto"/>
              </w:rPr>
              <w:t>.</w:t>
            </w:r>
            <w:r>
              <w:rPr>
                <w:color w:val="auto"/>
              </w:rPr>
              <w:t xml:space="preserve"> This issue should be addressed by the implementation of Agresso Multi</w:t>
            </w:r>
            <w:r w:rsidR="003868D0">
              <w:rPr>
                <w:color w:val="auto"/>
              </w:rPr>
              <w:t>-</w:t>
            </w:r>
            <w:r>
              <w:rPr>
                <w:color w:val="auto"/>
              </w:rPr>
              <w:t>client</w:t>
            </w:r>
            <w:r w:rsidR="003868D0">
              <w:rPr>
                <w:color w:val="auto"/>
              </w:rPr>
              <w:t xml:space="preserve">. However, in the interim </w:t>
            </w:r>
            <w:r w:rsidR="009E23D8">
              <w:rPr>
                <w:color w:val="auto"/>
              </w:rPr>
              <w:t>a spread</w:t>
            </w:r>
            <w:r w:rsidR="003900F3">
              <w:rPr>
                <w:color w:val="auto"/>
              </w:rPr>
              <w:t xml:space="preserve"> sheet</w:t>
            </w:r>
            <w:r w:rsidR="006A5A92">
              <w:rPr>
                <w:color w:val="auto"/>
              </w:rPr>
              <w:t xml:space="preserve"> showing the calculations</w:t>
            </w:r>
            <w:r w:rsidR="003868D0">
              <w:rPr>
                <w:color w:val="auto"/>
              </w:rPr>
              <w:t xml:space="preserve"> and the exchange rates used to convert the balances from the local currency to the reporting currency could help to address this issue.</w:t>
            </w:r>
          </w:p>
        </w:tc>
        <w:tc>
          <w:tcPr>
            <w:tcW w:w="2247" w:type="dxa"/>
          </w:tcPr>
          <w:p w:rsidR="006A5A92" w:rsidRPr="00313B25" w:rsidRDefault="003900F3" w:rsidP="00ED2689">
            <w:pPr>
              <w:jc w:val="both"/>
              <w:rPr>
                <w:color w:val="auto"/>
              </w:rPr>
            </w:pPr>
            <w:r w:rsidRPr="00313B25">
              <w:rPr>
                <w:color w:val="auto"/>
              </w:rPr>
              <w:t>process improvement</w:t>
            </w:r>
          </w:p>
        </w:tc>
      </w:tr>
    </w:tbl>
    <w:p w:rsidR="001A7A87" w:rsidRDefault="001A7A87" w:rsidP="00E707D7">
      <w:pPr>
        <w:pStyle w:val="IntroductionSmall"/>
        <w:rPr>
          <w:b/>
        </w:rPr>
      </w:pPr>
    </w:p>
    <w:p w:rsidR="00E707D7" w:rsidRPr="00A14386" w:rsidRDefault="00E707D7" w:rsidP="00E707D7">
      <w:pPr>
        <w:pStyle w:val="IntroductionSmall"/>
        <w:rPr>
          <w:b/>
        </w:rPr>
      </w:pPr>
      <w:r w:rsidRPr="00A14386">
        <w:rPr>
          <w:b/>
        </w:rPr>
        <w:t>Future Development Requirements</w:t>
      </w:r>
    </w:p>
    <w:p w:rsidR="00875B4D" w:rsidRPr="0025285A" w:rsidRDefault="0025285A" w:rsidP="00E707D7">
      <w:r>
        <w:t>Below is a list of</w:t>
      </w:r>
      <w:r w:rsidR="009E23D8">
        <w:t xml:space="preserve"> future</w:t>
      </w:r>
      <w:r>
        <w:t xml:space="preserve"> </w:t>
      </w:r>
      <w:r w:rsidR="00D30959" w:rsidRPr="00313B25">
        <w:rPr>
          <w:color w:val="auto"/>
        </w:rPr>
        <w:t>development requirements</w:t>
      </w:r>
      <w:r>
        <w:rPr>
          <w:color w:val="auto"/>
        </w:rPr>
        <w:t xml:space="preserve"> identified</w:t>
      </w:r>
      <w:r w:rsidR="009E23D8">
        <w:rPr>
          <w:color w:val="auto"/>
        </w:rPr>
        <w:t xml:space="preserve"> in the process</w:t>
      </w:r>
      <w:r w:rsidR="00D30959" w:rsidRPr="00313B25">
        <w:rPr>
          <w:color w:val="auto"/>
        </w:rPr>
        <w:t>.</w:t>
      </w:r>
    </w:p>
    <w:p w:rsidR="003900F3" w:rsidRDefault="003900F3" w:rsidP="00E707D7">
      <w:pPr>
        <w:rPr>
          <w:color w:val="auto"/>
        </w:rPr>
      </w:pPr>
    </w:p>
    <w:tbl>
      <w:tblPr>
        <w:tblW w:w="8931"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709"/>
        <w:gridCol w:w="8222"/>
      </w:tblGrid>
      <w:tr w:rsidR="003900F3" w:rsidRPr="00CD4F32" w:rsidTr="009C588A">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3900F3" w:rsidRPr="00D77F32" w:rsidRDefault="003900F3" w:rsidP="009C588A">
            <w:pPr>
              <w:rPr>
                <w:b/>
              </w:rPr>
            </w:pPr>
          </w:p>
        </w:tc>
        <w:tc>
          <w:tcPr>
            <w:tcW w:w="8222"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3900F3" w:rsidRPr="00D77F32" w:rsidRDefault="003900F3" w:rsidP="009C588A">
            <w:pPr>
              <w:jc w:val="center"/>
              <w:rPr>
                <w:b/>
              </w:rPr>
            </w:pPr>
            <w:r w:rsidRPr="00D77F32">
              <w:rPr>
                <w:b/>
              </w:rPr>
              <w:t>Summary Details</w:t>
            </w:r>
          </w:p>
          <w:p w:rsidR="003900F3" w:rsidRPr="00D77F32" w:rsidRDefault="003900F3" w:rsidP="009C588A">
            <w:pPr>
              <w:rPr>
                <w:b/>
              </w:rPr>
            </w:pPr>
          </w:p>
        </w:tc>
      </w:tr>
      <w:tr w:rsidR="003900F3" w:rsidRPr="00CD4F32" w:rsidTr="000B60CB">
        <w:trPr>
          <w:trHeight w:val="1046"/>
        </w:trPr>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FFFFFF" w:themeFill="background1"/>
          </w:tcPr>
          <w:p w:rsidR="003900F3" w:rsidRPr="0059057A" w:rsidRDefault="003900F3" w:rsidP="009C588A">
            <w:r w:rsidRPr="0059057A">
              <w:t>1</w:t>
            </w:r>
          </w:p>
        </w:tc>
        <w:tc>
          <w:tcPr>
            <w:tcW w:w="8222" w:type="dxa"/>
          </w:tcPr>
          <w:p w:rsidR="003900F3" w:rsidRPr="0059057A" w:rsidRDefault="0025285A" w:rsidP="009C588A">
            <w:r w:rsidRPr="000B60CB">
              <w:rPr>
                <w:color w:val="auto"/>
              </w:rPr>
              <w:t xml:space="preserve">Automation of bank reconciliations using </w:t>
            </w:r>
            <w:r w:rsidR="003900F3" w:rsidRPr="000B60CB">
              <w:rPr>
                <w:color w:val="auto"/>
              </w:rPr>
              <w:t>Autorek</w:t>
            </w:r>
            <w:r w:rsidRPr="000B60CB">
              <w:rPr>
                <w:color w:val="auto"/>
              </w:rPr>
              <w:t xml:space="preserve">. Autorek </w:t>
            </w:r>
            <w:r w:rsidR="003900F3" w:rsidRPr="000B60CB">
              <w:rPr>
                <w:color w:val="auto"/>
              </w:rPr>
              <w:t xml:space="preserve">will perform bank reconciliations </w:t>
            </w:r>
            <w:r w:rsidR="000B60CB" w:rsidRPr="000B60CB">
              <w:rPr>
                <w:color w:val="auto"/>
              </w:rPr>
              <w:t>with transactions</w:t>
            </w:r>
            <w:r w:rsidRPr="000B60CB">
              <w:rPr>
                <w:color w:val="auto"/>
              </w:rPr>
              <w:t xml:space="preserve"> data</w:t>
            </w:r>
            <w:r w:rsidR="003900F3" w:rsidRPr="000B60CB">
              <w:rPr>
                <w:color w:val="auto"/>
              </w:rPr>
              <w:t xml:space="preserve"> feeds directly from the bank and Agresso</w:t>
            </w:r>
            <w:r w:rsidRPr="000B60CB">
              <w:rPr>
                <w:color w:val="auto"/>
              </w:rPr>
              <w:t>. Most of transactions will be automatically matched any unmatched items will be investigated and manually matched</w:t>
            </w:r>
            <w:r w:rsidR="003900F3" w:rsidRPr="000B60CB">
              <w:rPr>
                <w:color w:val="auto"/>
              </w:rPr>
              <w:t>.</w:t>
            </w:r>
          </w:p>
        </w:tc>
      </w:tr>
    </w:tbl>
    <w:p w:rsidR="000B60CB" w:rsidRDefault="000B60CB" w:rsidP="00E707D7">
      <w:pPr>
        <w:rPr>
          <w:color w:val="auto"/>
        </w:rPr>
      </w:pPr>
    </w:p>
    <w:p w:rsidR="000B60CB" w:rsidRDefault="000B60CB" w:rsidP="00E707D7">
      <w:pPr>
        <w:rPr>
          <w:color w:val="auto"/>
        </w:rPr>
      </w:pPr>
    </w:p>
    <w:p w:rsidR="000B60CB" w:rsidRDefault="000B60CB" w:rsidP="00E707D7">
      <w:pPr>
        <w:rPr>
          <w:color w:val="auto"/>
        </w:rPr>
      </w:pPr>
    </w:p>
    <w:p w:rsidR="000B60CB" w:rsidRDefault="000B60CB" w:rsidP="00E707D7">
      <w:pPr>
        <w:rPr>
          <w:color w:val="auto"/>
        </w:rPr>
      </w:pPr>
    </w:p>
    <w:p w:rsidR="000B60CB" w:rsidRDefault="000B60CB" w:rsidP="00E707D7">
      <w:pPr>
        <w:rPr>
          <w:color w:val="auto"/>
        </w:rPr>
      </w:pPr>
    </w:p>
    <w:p w:rsidR="000B60CB" w:rsidRPr="00313B25" w:rsidRDefault="000B60CB" w:rsidP="00E707D7">
      <w:pPr>
        <w:rPr>
          <w:color w:val="auto"/>
        </w:rPr>
      </w:pPr>
    </w:p>
    <w:p w:rsidR="0080429E" w:rsidRDefault="0080429E" w:rsidP="0080429E">
      <w:pPr>
        <w:pStyle w:val="IntroductionSmall"/>
        <w:rPr>
          <w:b/>
        </w:rPr>
      </w:pPr>
      <w:r>
        <w:rPr>
          <w:b/>
        </w:rPr>
        <w:t>Risk Register Controls</w:t>
      </w:r>
    </w:p>
    <w:p w:rsidR="0028435A" w:rsidRDefault="0028435A" w:rsidP="0028435A">
      <w:r w:rsidRPr="0028435A">
        <w:t xml:space="preserve">Below </w:t>
      </w:r>
      <w:r w:rsidR="00875B4D" w:rsidRPr="0028435A">
        <w:t>is a</w:t>
      </w:r>
      <w:r w:rsidRPr="0028435A">
        <w:t xml:space="preserve"> list of controls identified for the risk register</w:t>
      </w:r>
      <w:r w:rsidR="009E23D8">
        <w:t>.</w:t>
      </w:r>
    </w:p>
    <w:p w:rsidR="0028435A" w:rsidRPr="0028435A" w:rsidRDefault="0028435A" w:rsidP="0028435A"/>
    <w:tbl>
      <w:tblPr>
        <w:tblStyle w:val="TableGrid"/>
        <w:tblW w:w="8931" w:type="dxa"/>
        <w:tblInd w:w="-1310" w:type="dxa"/>
        <w:tblLook w:val="04A0" w:firstRow="1" w:lastRow="0" w:firstColumn="1" w:lastColumn="0" w:noHBand="0" w:noVBand="1"/>
      </w:tblPr>
      <w:tblGrid>
        <w:gridCol w:w="1844"/>
        <w:gridCol w:w="5028"/>
        <w:gridCol w:w="2059"/>
      </w:tblGrid>
      <w:tr w:rsidR="0028435A" w:rsidRPr="003E4938" w:rsidTr="002A7BDC">
        <w:trPr>
          <w:trHeight w:val="792"/>
          <w:tblHeader/>
        </w:trPr>
        <w:tc>
          <w:tcPr>
            <w:tcW w:w="1844" w:type="dxa"/>
            <w:shd w:val="clear" w:color="auto" w:fill="D9D9D9" w:themeFill="background1" w:themeFillShade="D9"/>
            <w:hideMark/>
          </w:tcPr>
          <w:p w:rsidR="0028435A" w:rsidRPr="0028435A" w:rsidRDefault="0028435A" w:rsidP="003E4938">
            <w:pPr>
              <w:rPr>
                <w:b/>
              </w:rPr>
            </w:pPr>
            <w:r w:rsidRPr="0028435A">
              <w:rPr>
                <w:b/>
              </w:rPr>
              <w:t>POAP Major Process Objective (s)</w:t>
            </w:r>
          </w:p>
        </w:tc>
        <w:tc>
          <w:tcPr>
            <w:tcW w:w="5028" w:type="dxa"/>
            <w:shd w:val="clear" w:color="auto" w:fill="D9D9D9" w:themeFill="background1" w:themeFillShade="D9"/>
            <w:noWrap/>
            <w:hideMark/>
          </w:tcPr>
          <w:p w:rsidR="0028435A" w:rsidRPr="0028435A" w:rsidRDefault="0028435A" w:rsidP="003E4938">
            <w:pPr>
              <w:rPr>
                <w:b/>
              </w:rPr>
            </w:pPr>
            <w:r w:rsidRPr="0028435A">
              <w:rPr>
                <w:b/>
              </w:rPr>
              <w:t>Risk Register Control</w:t>
            </w:r>
          </w:p>
        </w:tc>
        <w:tc>
          <w:tcPr>
            <w:tcW w:w="2059" w:type="dxa"/>
            <w:shd w:val="clear" w:color="auto" w:fill="D9D9D9" w:themeFill="background1" w:themeFillShade="D9"/>
          </w:tcPr>
          <w:p w:rsidR="0028435A" w:rsidRPr="0028435A" w:rsidRDefault="0028435A" w:rsidP="003E4938">
            <w:pPr>
              <w:rPr>
                <w:b/>
              </w:rPr>
            </w:pPr>
            <w:r w:rsidRPr="0028435A">
              <w:rPr>
                <w:b/>
              </w:rPr>
              <w:t>Status/Comment</w:t>
            </w:r>
          </w:p>
        </w:tc>
      </w:tr>
      <w:tr w:rsidR="00FC032A" w:rsidRPr="003E4938" w:rsidTr="00875B4D">
        <w:trPr>
          <w:trHeight w:val="1682"/>
        </w:trPr>
        <w:tc>
          <w:tcPr>
            <w:tcW w:w="1844" w:type="dxa"/>
            <w:vMerge w:val="restart"/>
            <w:hideMark/>
          </w:tcPr>
          <w:p w:rsidR="00FC032A" w:rsidRPr="00313B25" w:rsidRDefault="00FC032A" w:rsidP="003E4938">
            <w:pPr>
              <w:rPr>
                <w:color w:val="auto"/>
              </w:rPr>
            </w:pPr>
            <w:r w:rsidRPr="00313B25">
              <w:rPr>
                <w:color w:val="auto"/>
              </w:rPr>
              <w:t>Ensure adequate controls and relationships with bank and investment partners</w:t>
            </w:r>
          </w:p>
        </w:tc>
        <w:tc>
          <w:tcPr>
            <w:tcW w:w="5028" w:type="dxa"/>
            <w:hideMark/>
          </w:tcPr>
          <w:p w:rsidR="00FC032A" w:rsidRPr="00313B25" w:rsidRDefault="00FC032A" w:rsidP="00FC032A">
            <w:pPr>
              <w:rPr>
                <w:color w:val="auto"/>
              </w:rPr>
            </w:pPr>
            <w:r w:rsidRPr="00313B25">
              <w:rPr>
                <w:color w:val="auto"/>
              </w:rPr>
              <w:t>In the last 12 months, the treasury policy has been reviewed, is up to date and has been approved by the Operations Committee as evidenced in the meeting minutes. The treasury policy has been communicated within the Finance department</w:t>
            </w:r>
            <w:r w:rsidR="00A73CAB" w:rsidRPr="00313B25">
              <w:rPr>
                <w:color w:val="auto"/>
              </w:rPr>
              <w:t xml:space="preserve"> (Control #</w:t>
            </w:r>
            <w:r w:rsidRPr="00313B25">
              <w:rPr>
                <w:color w:val="auto"/>
              </w:rPr>
              <w:t>: Treasury Policy-C2320).</w:t>
            </w:r>
          </w:p>
        </w:tc>
        <w:tc>
          <w:tcPr>
            <w:tcW w:w="2059" w:type="dxa"/>
          </w:tcPr>
          <w:p w:rsidR="00FC032A" w:rsidRPr="00313B25" w:rsidRDefault="00FC032A" w:rsidP="003E4938">
            <w:pPr>
              <w:rPr>
                <w:color w:val="auto"/>
              </w:rPr>
            </w:pPr>
            <w:r w:rsidRPr="00313B25">
              <w:rPr>
                <w:color w:val="auto"/>
              </w:rPr>
              <w:t>This is an existing control which is in the risk register and should be maintained.</w:t>
            </w:r>
          </w:p>
        </w:tc>
      </w:tr>
      <w:tr w:rsidR="000D7EBF" w:rsidRPr="003E4938" w:rsidTr="00875B4D">
        <w:trPr>
          <w:trHeight w:val="841"/>
        </w:trPr>
        <w:tc>
          <w:tcPr>
            <w:tcW w:w="1844" w:type="dxa"/>
            <w:vMerge/>
          </w:tcPr>
          <w:p w:rsidR="000D7EBF" w:rsidRPr="00313B25" w:rsidRDefault="000D7EBF" w:rsidP="0028435A">
            <w:pPr>
              <w:rPr>
                <w:color w:val="auto"/>
              </w:rPr>
            </w:pPr>
          </w:p>
        </w:tc>
        <w:tc>
          <w:tcPr>
            <w:tcW w:w="5028" w:type="dxa"/>
          </w:tcPr>
          <w:p w:rsidR="000D7EBF" w:rsidRPr="00313B25" w:rsidRDefault="000D7EBF" w:rsidP="0028435A">
            <w:pPr>
              <w:rPr>
                <w:color w:val="auto"/>
              </w:rPr>
            </w:pPr>
            <w:r w:rsidRPr="00313B25">
              <w:rPr>
                <w:color w:val="auto"/>
              </w:rPr>
              <w:t>The financial conditions and covenants attaching to our debt facilities have been reviewed in the past quarter (and when otherwise required) to ensure Beazley is compliant with the requirements set out in the agreement. Documentation of compliance has been completed in the form of a spread sheet detailing the requirements and reporting deadlines, which has been reviewed to ensure it contains accurate and up to date information (control #: Covenant requirements working-C2314).</w:t>
            </w:r>
          </w:p>
        </w:tc>
        <w:tc>
          <w:tcPr>
            <w:tcW w:w="2059" w:type="dxa"/>
          </w:tcPr>
          <w:p w:rsidR="000D7EBF" w:rsidRPr="00313B25" w:rsidRDefault="000D7EBF" w:rsidP="0028435A">
            <w:pPr>
              <w:rPr>
                <w:color w:val="auto"/>
              </w:rPr>
            </w:pPr>
            <w:r w:rsidRPr="00313B25">
              <w:rPr>
                <w:color w:val="auto"/>
              </w:rPr>
              <w:t>This is an existing control which is in the risk register and should be maintained.</w:t>
            </w:r>
          </w:p>
        </w:tc>
      </w:tr>
      <w:tr w:rsidR="00FC032A" w:rsidRPr="003E4938" w:rsidTr="00875B4D">
        <w:trPr>
          <w:trHeight w:val="841"/>
        </w:trPr>
        <w:tc>
          <w:tcPr>
            <w:tcW w:w="1844" w:type="dxa"/>
            <w:vMerge/>
          </w:tcPr>
          <w:p w:rsidR="00FC032A" w:rsidRPr="00A73CAB" w:rsidRDefault="00FC032A" w:rsidP="0028435A">
            <w:pPr>
              <w:rPr>
                <w:color w:val="0070C0"/>
              </w:rPr>
            </w:pPr>
          </w:p>
        </w:tc>
        <w:tc>
          <w:tcPr>
            <w:tcW w:w="5028" w:type="dxa"/>
          </w:tcPr>
          <w:p w:rsidR="00FC032A" w:rsidRPr="00313B25" w:rsidRDefault="00FC032A" w:rsidP="0028435A">
            <w:pPr>
              <w:rPr>
                <w:color w:val="auto"/>
              </w:rPr>
            </w:pPr>
            <w:r w:rsidRPr="00313B25">
              <w:rPr>
                <w:color w:val="auto"/>
              </w:rPr>
              <w:t>In the past quarter, the credit ratings of the banks that are providing the letter of credit facility have been reviewed.  If there has been an adverse change Lloyd’s have confirmed that they are s</w:t>
            </w:r>
            <w:r w:rsidR="00A73CAB" w:rsidRPr="00313B25">
              <w:rPr>
                <w:color w:val="auto"/>
              </w:rPr>
              <w:t>till an acceptable bank (control #</w:t>
            </w:r>
            <w:r w:rsidRPr="00313B25">
              <w:rPr>
                <w:color w:val="auto"/>
              </w:rPr>
              <w:t>: Beazley plc. facility agreement counterparty credit ratings-C0953)</w:t>
            </w:r>
            <w:r w:rsidR="00A73CAB" w:rsidRPr="00313B25">
              <w:rPr>
                <w:color w:val="auto"/>
              </w:rPr>
              <w:t>.</w:t>
            </w:r>
          </w:p>
        </w:tc>
        <w:tc>
          <w:tcPr>
            <w:tcW w:w="2059" w:type="dxa"/>
          </w:tcPr>
          <w:p w:rsidR="00FC032A" w:rsidRPr="00313B25" w:rsidRDefault="00FC032A" w:rsidP="0028435A">
            <w:pPr>
              <w:rPr>
                <w:color w:val="auto"/>
              </w:rPr>
            </w:pPr>
            <w:r w:rsidRPr="00313B25">
              <w:rPr>
                <w:color w:val="auto"/>
              </w:rPr>
              <w:t>This is an existing control which is in the risk register and should be maintained.</w:t>
            </w:r>
          </w:p>
        </w:tc>
      </w:tr>
      <w:tr w:rsidR="00A73CAB" w:rsidRPr="003E4938" w:rsidTr="00875B4D">
        <w:trPr>
          <w:trHeight w:val="983"/>
        </w:trPr>
        <w:tc>
          <w:tcPr>
            <w:tcW w:w="1844" w:type="dxa"/>
          </w:tcPr>
          <w:p w:rsidR="00A73CAB" w:rsidRPr="00313B25" w:rsidRDefault="00A73CAB" w:rsidP="00A73CAB">
            <w:pPr>
              <w:rPr>
                <w:color w:val="auto"/>
              </w:rPr>
            </w:pPr>
            <w:r w:rsidRPr="00313B25">
              <w:rPr>
                <w:color w:val="auto"/>
              </w:rPr>
              <w:t>Ensure bank accounts are reconciled to third party supporting documentation</w:t>
            </w:r>
          </w:p>
        </w:tc>
        <w:tc>
          <w:tcPr>
            <w:tcW w:w="5028" w:type="dxa"/>
          </w:tcPr>
          <w:p w:rsidR="00A73CAB" w:rsidRPr="00313B25" w:rsidRDefault="00A73CAB" w:rsidP="00A73CAB">
            <w:pPr>
              <w:rPr>
                <w:color w:val="auto"/>
              </w:rPr>
            </w:pPr>
            <w:r w:rsidRPr="00313B25">
              <w:rPr>
                <w:color w:val="auto"/>
              </w:rPr>
              <w:t>The balance sheet accounts &amp; Dashboard are reconciled on a quarterly basis.</w:t>
            </w:r>
          </w:p>
          <w:p w:rsidR="00A73CAB" w:rsidRPr="00313B25" w:rsidRDefault="00A73CAB" w:rsidP="00A73CAB">
            <w:pPr>
              <w:rPr>
                <w:color w:val="auto"/>
              </w:rPr>
            </w:pPr>
            <w:r w:rsidRPr="00313B25">
              <w:rPr>
                <w:color w:val="auto"/>
              </w:rPr>
              <w:t>(Control #:  Balance Sheet Dashboard).</w:t>
            </w:r>
          </w:p>
        </w:tc>
        <w:tc>
          <w:tcPr>
            <w:tcW w:w="2059" w:type="dxa"/>
          </w:tcPr>
          <w:p w:rsidR="00A73CAB" w:rsidRPr="00313B25" w:rsidRDefault="00A73CAB" w:rsidP="00A73CAB">
            <w:pPr>
              <w:rPr>
                <w:color w:val="auto"/>
              </w:rPr>
            </w:pPr>
            <w:r w:rsidRPr="00313B25">
              <w:rPr>
                <w:color w:val="auto"/>
              </w:rPr>
              <w:t xml:space="preserve">Existing control </w:t>
            </w:r>
          </w:p>
          <w:p w:rsidR="00A73CAB" w:rsidRPr="00313B25" w:rsidRDefault="00A73CAB" w:rsidP="00A73CAB">
            <w:pPr>
              <w:rPr>
                <w:color w:val="auto"/>
              </w:rPr>
            </w:pPr>
            <w:r w:rsidRPr="00313B25">
              <w:rPr>
                <w:color w:val="auto"/>
              </w:rPr>
              <w:t>- Keep control</w:t>
            </w:r>
          </w:p>
        </w:tc>
      </w:tr>
      <w:tr w:rsidR="0028435A" w:rsidRPr="003E4938" w:rsidTr="00875B4D">
        <w:trPr>
          <w:trHeight w:val="700"/>
        </w:trPr>
        <w:tc>
          <w:tcPr>
            <w:tcW w:w="1844" w:type="dxa"/>
            <w:hideMark/>
          </w:tcPr>
          <w:p w:rsidR="0028435A" w:rsidRPr="00313B25" w:rsidRDefault="00A73CAB" w:rsidP="003E4938">
            <w:pPr>
              <w:rPr>
                <w:color w:val="auto"/>
              </w:rPr>
            </w:pPr>
            <w:r w:rsidRPr="00313B25">
              <w:rPr>
                <w:color w:val="auto"/>
              </w:rPr>
              <w:t>Ensure maximise use of cash and meet covenant requirements</w:t>
            </w:r>
            <w:r w:rsidR="0028435A" w:rsidRPr="00313B25">
              <w:rPr>
                <w:color w:val="auto"/>
              </w:rPr>
              <w:t> </w:t>
            </w:r>
          </w:p>
        </w:tc>
        <w:tc>
          <w:tcPr>
            <w:tcW w:w="5028" w:type="dxa"/>
            <w:hideMark/>
          </w:tcPr>
          <w:p w:rsidR="0028435A" w:rsidRPr="00313B25" w:rsidRDefault="00A73CAB" w:rsidP="003E4938">
            <w:pPr>
              <w:rPr>
                <w:color w:val="auto"/>
              </w:rPr>
            </w:pPr>
            <w:r w:rsidRPr="00313B25">
              <w:rPr>
                <w:color w:val="auto"/>
              </w:rPr>
              <w:t xml:space="preserve">In the past month, the daily cash process has not been missed more than two unplanned, </w:t>
            </w:r>
            <w:r w:rsidR="009C218D" w:rsidRPr="00313B25">
              <w:rPr>
                <w:color w:val="auto"/>
              </w:rPr>
              <w:t>inconsecutive</w:t>
            </w:r>
            <w:r w:rsidRPr="00313B25">
              <w:rPr>
                <w:color w:val="auto"/>
              </w:rPr>
              <w:t xml:space="preserve"> days or more than three planned consecutive days. Planned gaps of up to three days have been approved by the Global Head of Finance (Control #: Daily cash-C2321)</w:t>
            </w:r>
            <w:r w:rsidR="00063969" w:rsidRPr="00313B25">
              <w:rPr>
                <w:color w:val="auto"/>
              </w:rPr>
              <w:t>.</w:t>
            </w:r>
          </w:p>
        </w:tc>
        <w:tc>
          <w:tcPr>
            <w:tcW w:w="2059" w:type="dxa"/>
          </w:tcPr>
          <w:p w:rsidR="0028435A" w:rsidRPr="00313B25" w:rsidRDefault="009C218D" w:rsidP="003E4938">
            <w:pPr>
              <w:rPr>
                <w:color w:val="auto"/>
              </w:rPr>
            </w:pPr>
            <w:r w:rsidRPr="00313B25">
              <w:rPr>
                <w:color w:val="auto"/>
              </w:rPr>
              <w:t>This is an existing control which is in the risk register and should be maintained.</w:t>
            </w:r>
          </w:p>
        </w:tc>
      </w:tr>
      <w:tr w:rsidR="00063969" w:rsidRPr="003E4938" w:rsidTr="00875B4D">
        <w:trPr>
          <w:trHeight w:val="700"/>
        </w:trPr>
        <w:tc>
          <w:tcPr>
            <w:tcW w:w="1844" w:type="dxa"/>
          </w:tcPr>
          <w:p w:rsidR="00063969" w:rsidRPr="00313B25" w:rsidRDefault="00063969" w:rsidP="003E4938">
            <w:pPr>
              <w:rPr>
                <w:color w:val="auto"/>
              </w:rPr>
            </w:pPr>
            <w:r w:rsidRPr="00313B25">
              <w:rPr>
                <w:color w:val="auto"/>
              </w:rPr>
              <w:t>Reduce the foreign currency exposure on the Balance Sheet for known and unknown payments</w:t>
            </w:r>
          </w:p>
        </w:tc>
        <w:tc>
          <w:tcPr>
            <w:tcW w:w="5028" w:type="dxa"/>
          </w:tcPr>
          <w:p w:rsidR="00063969" w:rsidRPr="00313B25" w:rsidRDefault="00063969" w:rsidP="003E4938">
            <w:pPr>
              <w:rPr>
                <w:color w:val="auto"/>
              </w:rPr>
            </w:pPr>
            <w:r w:rsidRPr="00313B25">
              <w:rPr>
                <w:color w:val="auto"/>
              </w:rPr>
              <w:t>In the past month, a review of the effectiveness of hedging has been conducted. Any gaps and P&amp;L exposures have been identified and addressed where possible. Confirmation of this review along with a description of the approach and findings has been reported to the Executive Committee and Board, as evidenced in the committee/ board papers and minutes (control #: Review of hedging- C0521).</w:t>
            </w:r>
          </w:p>
        </w:tc>
        <w:tc>
          <w:tcPr>
            <w:tcW w:w="2059" w:type="dxa"/>
          </w:tcPr>
          <w:p w:rsidR="00063969" w:rsidRPr="00313B25" w:rsidRDefault="00063969" w:rsidP="003E4938">
            <w:pPr>
              <w:rPr>
                <w:color w:val="auto"/>
              </w:rPr>
            </w:pPr>
            <w:r w:rsidRPr="00313B25">
              <w:rPr>
                <w:color w:val="auto"/>
              </w:rPr>
              <w:t>This is an existing control which is in the risk register and should be maintained.</w:t>
            </w:r>
          </w:p>
        </w:tc>
      </w:tr>
    </w:tbl>
    <w:p w:rsidR="00E707D7" w:rsidRDefault="00E707D7" w:rsidP="00063969">
      <w:pPr>
        <w:pStyle w:val="IntroductionSmall"/>
      </w:pPr>
    </w:p>
    <w:p w:rsidR="00063969" w:rsidRDefault="00063969" w:rsidP="00063969">
      <w:pPr>
        <w:pStyle w:val="IntroductionSmall"/>
      </w:pPr>
    </w:p>
    <w:sectPr w:rsidR="00063969" w:rsidSect="007466AF">
      <w:headerReference w:type="default" r:id="rId13"/>
      <w:footerReference w:type="even" r:id="rId14"/>
      <w:footerReference w:type="default" r:id="rId15"/>
      <w:pgSz w:w="11906" w:h="16838" w:code="9"/>
      <w:pgMar w:top="720" w:right="1440" w:bottom="720" w:left="3168" w:header="720" w:footer="720" w:gutter="0"/>
      <w:cols w:space="70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627" w:rsidRDefault="00C77627">
      <w:r>
        <w:separator/>
      </w:r>
    </w:p>
  </w:endnote>
  <w:endnote w:type="continuationSeparator" w:id="0">
    <w:p w:rsidR="00C77627" w:rsidRDefault="00C77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627" w:rsidRDefault="00C77627" w:rsidP="00383E50">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77627" w:rsidRDefault="00C77627" w:rsidP="000639C7">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627" w:rsidRPr="000639C7" w:rsidRDefault="00C77627" w:rsidP="000639C7">
    <w:pPr>
      <w:framePr w:wrap="around" w:vAnchor="text" w:hAnchor="margin" w:xAlign="right" w:y="321"/>
      <w:rPr>
        <w:rStyle w:val="PageNumber"/>
      </w:rPr>
    </w:pPr>
    <w:r w:rsidRPr="000639C7">
      <w:rPr>
        <w:rStyle w:val="PageNumber"/>
      </w:rPr>
      <w:fldChar w:fldCharType="begin"/>
    </w:r>
    <w:r w:rsidRPr="000639C7">
      <w:rPr>
        <w:rStyle w:val="PageNumber"/>
      </w:rPr>
      <w:instrText xml:space="preserve">PAGE  </w:instrText>
    </w:r>
    <w:r w:rsidRPr="000639C7">
      <w:rPr>
        <w:rStyle w:val="PageNumber"/>
      </w:rPr>
      <w:fldChar w:fldCharType="separate"/>
    </w:r>
    <w:r w:rsidR="00295C17">
      <w:rPr>
        <w:rStyle w:val="PageNumber"/>
        <w:noProof/>
      </w:rPr>
      <w:t>3</w:t>
    </w:r>
    <w:r w:rsidRPr="000639C7">
      <w:rPr>
        <w:rStyle w:val="PageNumber"/>
      </w:rPr>
      <w:fldChar w:fldCharType="end"/>
    </w:r>
  </w:p>
  <w:p w:rsidR="00C77627" w:rsidRPr="008E21FE" w:rsidRDefault="00C77627" w:rsidP="000639C7">
    <w:pPr>
      <w:ind w:right="360"/>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627" w:rsidRDefault="00C77627">
      <w:r>
        <w:separator/>
      </w:r>
    </w:p>
  </w:footnote>
  <w:footnote w:type="continuationSeparator" w:id="0">
    <w:p w:rsidR="00C77627" w:rsidRDefault="00C776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627" w:rsidRPr="006F7478" w:rsidRDefault="00C77627" w:rsidP="006F7478">
    <w:pPr>
      <w:tabs>
        <w:tab w:val="left" w:pos="2622"/>
        <w:tab w:val="right" w:pos="9630"/>
      </w:tabs>
    </w:pPr>
    <w:r>
      <w:rPr>
        <w:noProof/>
      </w:rPr>
      <w:drawing>
        <wp:anchor distT="0" distB="0" distL="114300" distR="114300" simplePos="0" relativeHeight="251657728" behindDoc="0" locked="0" layoutInCell="1" allowOverlap="1" wp14:anchorId="2CE361CD" wp14:editId="2A2BC054">
          <wp:simplePos x="0" y="0"/>
          <wp:positionH relativeFrom="column">
            <wp:posOffset>-1920240</wp:posOffset>
          </wp:positionH>
          <wp:positionV relativeFrom="paragraph">
            <wp:posOffset>97155</wp:posOffset>
          </wp:positionV>
          <wp:extent cx="7709535" cy="819785"/>
          <wp:effectExtent l="0" t="0" r="5715" b="0"/>
          <wp:wrapSquare wrapText="bothSides"/>
          <wp:docPr id="7" name="Picture 7" descr="beazley_logo_A4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azley_logo_A4_cr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9535" cy="819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BFC0920"/>
    <w:lvl w:ilvl="0">
      <w:start w:val="1"/>
      <w:numFmt w:val="decimal"/>
      <w:lvlText w:val="%1."/>
      <w:lvlJc w:val="left"/>
      <w:pPr>
        <w:tabs>
          <w:tab w:val="num" w:pos="1492"/>
        </w:tabs>
        <w:ind w:left="1492" w:hanging="360"/>
      </w:pPr>
    </w:lvl>
  </w:abstractNum>
  <w:abstractNum w:abstractNumId="1">
    <w:nsid w:val="FFFFFF7D"/>
    <w:multiLevelType w:val="singleLevel"/>
    <w:tmpl w:val="79B2088A"/>
    <w:lvl w:ilvl="0">
      <w:start w:val="1"/>
      <w:numFmt w:val="decimal"/>
      <w:lvlText w:val="%1."/>
      <w:lvlJc w:val="left"/>
      <w:pPr>
        <w:tabs>
          <w:tab w:val="num" w:pos="1209"/>
        </w:tabs>
        <w:ind w:left="1209" w:hanging="360"/>
      </w:pPr>
    </w:lvl>
  </w:abstractNum>
  <w:abstractNum w:abstractNumId="2">
    <w:nsid w:val="FFFFFF7E"/>
    <w:multiLevelType w:val="singleLevel"/>
    <w:tmpl w:val="98EE930E"/>
    <w:lvl w:ilvl="0">
      <w:start w:val="1"/>
      <w:numFmt w:val="decimal"/>
      <w:lvlText w:val="%1."/>
      <w:lvlJc w:val="left"/>
      <w:pPr>
        <w:tabs>
          <w:tab w:val="num" w:pos="926"/>
        </w:tabs>
        <w:ind w:left="926" w:hanging="360"/>
      </w:pPr>
    </w:lvl>
  </w:abstractNum>
  <w:abstractNum w:abstractNumId="3">
    <w:nsid w:val="FFFFFF7F"/>
    <w:multiLevelType w:val="singleLevel"/>
    <w:tmpl w:val="F856AA5A"/>
    <w:lvl w:ilvl="0">
      <w:start w:val="1"/>
      <w:numFmt w:val="decimal"/>
      <w:lvlText w:val="%1."/>
      <w:lvlJc w:val="left"/>
      <w:pPr>
        <w:tabs>
          <w:tab w:val="num" w:pos="643"/>
        </w:tabs>
        <w:ind w:left="643" w:hanging="360"/>
      </w:pPr>
    </w:lvl>
  </w:abstractNum>
  <w:abstractNum w:abstractNumId="4">
    <w:nsid w:val="FFFFFF80"/>
    <w:multiLevelType w:val="singleLevel"/>
    <w:tmpl w:val="9ABE0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AA51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64A7B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BA21B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6DE7A32"/>
    <w:lvl w:ilvl="0">
      <w:start w:val="1"/>
      <w:numFmt w:val="decimal"/>
      <w:lvlText w:val="%1."/>
      <w:lvlJc w:val="left"/>
      <w:pPr>
        <w:tabs>
          <w:tab w:val="num" w:pos="360"/>
        </w:tabs>
        <w:ind w:left="360" w:hanging="360"/>
      </w:pPr>
    </w:lvl>
  </w:abstractNum>
  <w:abstractNum w:abstractNumId="9">
    <w:nsid w:val="FFFFFF89"/>
    <w:multiLevelType w:val="singleLevel"/>
    <w:tmpl w:val="035AFA38"/>
    <w:lvl w:ilvl="0">
      <w:start w:val="1"/>
      <w:numFmt w:val="bullet"/>
      <w:lvlText w:val=""/>
      <w:lvlJc w:val="left"/>
      <w:pPr>
        <w:tabs>
          <w:tab w:val="num" w:pos="360"/>
        </w:tabs>
        <w:ind w:left="360" w:hanging="360"/>
      </w:pPr>
      <w:rPr>
        <w:rFonts w:ascii="Symbol" w:hAnsi="Symbol" w:hint="default"/>
      </w:rPr>
    </w:lvl>
  </w:abstractNum>
  <w:abstractNum w:abstractNumId="10">
    <w:nsid w:val="00A84870"/>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14F63C6"/>
    <w:multiLevelType w:val="multilevel"/>
    <w:tmpl w:val="C36A3472"/>
    <w:lvl w:ilvl="0">
      <w:start w:val="1"/>
      <w:numFmt w:val="decimal"/>
      <w:lvlText w:val="%1."/>
      <w:lvlJc w:val="left"/>
      <w:pPr>
        <w:tabs>
          <w:tab w:val="num" w:pos="720"/>
        </w:tabs>
        <w:ind w:left="720" w:hanging="360"/>
      </w:pPr>
      <w:rPr>
        <w:rFonts w:ascii="Franklin Gothic Book" w:hAnsi="Franklin Gothic Book" w:hint="default"/>
        <w:color w:val="000000"/>
        <w:sz w:val="19"/>
      </w:rPr>
    </w:lvl>
    <w:lvl w:ilvl="1">
      <w:start w:val="1"/>
      <w:numFmt w:val="lowerLetter"/>
      <w:lvlText w:val="%2."/>
      <w:lvlJc w:val="left"/>
      <w:pPr>
        <w:tabs>
          <w:tab w:val="num" w:pos="1080"/>
        </w:tabs>
        <w:ind w:left="1080" w:hanging="360"/>
      </w:pPr>
      <w:rPr>
        <w:rFonts w:ascii="Franklin Gothic Book" w:hAnsi="Franklin Gothic Book" w:hint="default"/>
        <w:color w:val="000000"/>
        <w:sz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0B7C5772"/>
    <w:multiLevelType w:val="hybridMultilevel"/>
    <w:tmpl w:val="C9069F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0BEC1C51"/>
    <w:multiLevelType w:val="singleLevel"/>
    <w:tmpl w:val="52B68D00"/>
    <w:lvl w:ilvl="0">
      <w:start w:val="1"/>
      <w:numFmt w:val="bullet"/>
      <w:lvlText w:val=""/>
      <w:lvlJc w:val="left"/>
      <w:pPr>
        <w:tabs>
          <w:tab w:val="num" w:pos="360"/>
        </w:tabs>
        <w:ind w:left="284" w:hanging="284"/>
      </w:pPr>
      <w:rPr>
        <w:rFonts w:ascii="Symbol" w:hAnsi="Symbol" w:hint="default"/>
        <w:sz w:val="16"/>
      </w:rPr>
    </w:lvl>
  </w:abstractNum>
  <w:abstractNum w:abstractNumId="14">
    <w:nsid w:val="14873B8A"/>
    <w:multiLevelType w:val="hybridMultilevel"/>
    <w:tmpl w:val="CB261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8830BD4"/>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E9C6B34"/>
    <w:multiLevelType w:val="multilevel"/>
    <w:tmpl w:val="E0BC12A4"/>
    <w:numStyleLink w:val="NumberedBullets"/>
  </w:abstractNum>
  <w:abstractNum w:abstractNumId="17">
    <w:nsid w:val="21F45353"/>
    <w:multiLevelType w:val="hybridMultilevel"/>
    <w:tmpl w:val="A6688C34"/>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8">
    <w:nsid w:val="24B86084"/>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26776586"/>
    <w:multiLevelType w:val="multilevel"/>
    <w:tmpl w:val="C36A3472"/>
    <w:lvl w:ilvl="0">
      <w:start w:val="1"/>
      <w:numFmt w:val="decimal"/>
      <w:lvlText w:val="%1."/>
      <w:lvlJc w:val="left"/>
      <w:pPr>
        <w:tabs>
          <w:tab w:val="num" w:pos="720"/>
        </w:tabs>
        <w:ind w:left="720" w:hanging="360"/>
      </w:pPr>
      <w:rPr>
        <w:rFonts w:ascii="Franklin Gothic Book" w:hAnsi="Franklin Gothic Book" w:hint="default"/>
        <w:color w:val="000000"/>
        <w:sz w:val="19"/>
      </w:rPr>
    </w:lvl>
    <w:lvl w:ilvl="1">
      <w:start w:val="1"/>
      <w:numFmt w:val="lowerLetter"/>
      <w:lvlText w:val="%2."/>
      <w:lvlJc w:val="left"/>
      <w:pPr>
        <w:tabs>
          <w:tab w:val="num" w:pos="1080"/>
        </w:tabs>
        <w:ind w:left="1080" w:hanging="360"/>
      </w:pPr>
      <w:rPr>
        <w:rFonts w:ascii="Franklin Gothic Book" w:hAnsi="Franklin Gothic Book" w:hint="default"/>
        <w:color w:val="000000"/>
        <w:sz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nsid w:val="26C9217F"/>
    <w:multiLevelType w:val="multilevel"/>
    <w:tmpl w:val="52586D66"/>
    <w:lvl w:ilvl="0">
      <w:start w:val="1"/>
      <w:numFmt w:val="upperLetter"/>
      <w:lvlText w:val="%1."/>
      <w:lvlJc w:val="left"/>
      <w:pPr>
        <w:tabs>
          <w:tab w:val="num" w:pos="360"/>
        </w:tabs>
        <w:ind w:left="360" w:hanging="360"/>
      </w:pPr>
      <w:rPr>
        <w:rFonts w:ascii="Franklin Gothic Book" w:hAnsi="Franklin Gothic Book" w:hint="default"/>
        <w:color w:val="000000"/>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2B035B97"/>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2CEC0C91"/>
    <w:multiLevelType w:val="hybridMultilevel"/>
    <w:tmpl w:val="334EA224"/>
    <w:lvl w:ilvl="0" w:tplc="BC56D84A">
      <w:start w:val="1"/>
      <w:numFmt w:val="lowerRoman"/>
      <w:lvlText w:val="%1."/>
      <w:lvlJc w:val="left"/>
      <w:pPr>
        <w:ind w:left="1080" w:hanging="720"/>
      </w:pPr>
      <w:rPr>
        <w:rFonts w:hint="default"/>
        <w:b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DD155F5"/>
    <w:multiLevelType w:val="hybridMultilevel"/>
    <w:tmpl w:val="E55A667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31666075"/>
    <w:multiLevelType w:val="hybridMultilevel"/>
    <w:tmpl w:val="5CAC9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86F3948"/>
    <w:multiLevelType w:val="hybridMultilevel"/>
    <w:tmpl w:val="6E32E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02D2CF6"/>
    <w:multiLevelType w:val="multilevel"/>
    <w:tmpl w:val="52586D66"/>
    <w:lvl w:ilvl="0">
      <w:start w:val="1"/>
      <w:numFmt w:val="upperLetter"/>
      <w:lvlText w:val="%1."/>
      <w:lvlJc w:val="left"/>
      <w:pPr>
        <w:tabs>
          <w:tab w:val="num" w:pos="360"/>
        </w:tabs>
        <w:ind w:left="360" w:hanging="360"/>
      </w:pPr>
      <w:rPr>
        <w:rFonts w:ascii="Franklin Gothic Book" w:hAnsi="Franklin Gothic Book" w:hint="default"/>
        <w:color w:val="000000"/>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2EB00E1"/>
    <w:multiLevelType w:val="multilevel"/>
    <w:tmpl w:val="E0BC12A4"/>
    <w:styleLink w:val="NumberedBullets"/>
    <w:lvl w:ilvl="0">
      <w:start w:val="1"/>
      <w:numFmt w:val="decimal"/>
      <w:lvlText w:val="%1."/>
      <w:lvlJc w:val="left"/>
      <w:pPr>
        <w:tabs>
          <w:tab w:val="num" w:pos="720"/>
        </w:tabs>
        <w:ind w:left="720" w:hanging="360"/>
      </w:pPr>
      <w:rPr>
        <w:rFonts w:ascii="Verdana" w:hAnsi="Verdana" w:hint="default"/>
        <w:color w:val="000000"/>
        <w:sz w:val="18"/>
      </w:rPr>
    </w:lvl>
    <w:lvl w:ilvl="1">
      <w:start w:val="1"/>
      <w:numFmt w:val="lowerLetter"/>
      <w:lvlText w:val="%2."/>
      <w:lvlJc w:val="left"/>
      <w:pPr>
        <w:tabs>
          <w:tab w:val="num" w:pos="1080"/>
        </w:tabs>
        <w:ind w:left="1080" w:hanging="360"/>
      </w:pPr>
      <w:rPr>
        <w:rFonts w:ascii="Verdana" w:hAnsi="Verdana" w:hint="default"/>
        <w:color w:val="000000"/>
        <w:sz w:val="18"/>
      </w:rPr>
    </w:lvl>
    <w:lvl w:ilvl="2">
      <w:start w:val="1"/>
      <w:numFmt w:val="lowerRoman"/>
      <w:lvlText w:val="%3."/>
      <w:lvlJc w:val="left"/>
      <w:pPr>
        <w:tabs>
          <w:tab w:val="num" w:pos="1440"/>
        </w:tabs>
        <w:ind w:left="1440" w:hanging="360"/>
      </w:pPr>
      <w:rPr>
        <w:rFonts w:ascii="Verdana" w:hAnsi="Verdana" w:hint="default"/>
        <w:sz w:val="18"/>
      </w:rPr>
    </w:lvl>
    <w:lvl w:ilvl="3">
      <w:start w:val="1"/>
      <w:numFmt w:val="decimal"/>
      <w:lvlText w:val="%4."/>
      <w:lvlJc w:val="left"/>
      <w:pPr>
        <w:tabs>
          <w:tab w:val="num" w:pos="2880"/>
        </w:tabs>
        <w:ind w:left="2880" w:hanging="360"/>
      </w:pPr>
      <w:rPr>
        <w:rFonts w:ascii="Franklin Gothic Book" w:hAnsi="Franklin Gothic Book" w:hint="default"/>
        <w:sz w:val="20"/>
      </w:rPr>
    </w:lvl>
    <w:lvl w:ilvl="4">
      <w:start w:val="1"/>
      <w:numFmt w:val="lowerLetter"/>
      <w:lvlText w:val="%5."/>
      <w:lvlJc w:val="left"/>
      <w:pPr>
        <w:tabs>
          <w:tab w:val="num" w:pos="3600"/>
        </w:tabs>
        <w:ind w:left="3600" w:hanging="360"/>
      </w:pPr>
      <w:rPr>
        <w:rFonts w:ascii="Franklin Gothic Book" w:hAnsi="Franklin Gothic Book" w:hint="default"/>
        <w:sz w:val="20"/>
      </w:rPr>
    </w:lvl>
    <w:lvl w:ilvl="5">
      <w:start w:val="1"/>
      <w:numFmt w:val="lowerRoman"/>
      <w:lvlText w:val="%6."/>
      <w:lvlJc w:val="right"/>
      <w:pPr>
        <w:tabs>
          <w:tab w:val="num" w:pos="4320"/>
        </w:tabs>
        <w:ind w:left="4320" w:hanging="180"/>
      </w:pPr>
      <w:rPr>
        <w:rFonts w:ascii="Franklin Gothic Book" w:hAnsi="Franklin Gothic Book" w:hint="default"/>
        <w:sz w:val="20"/>
      </w:rPr>
    </w:lvl>
    <w:lvl w:ilvl="6">
      <w:start w:val="1"/>
      <w:numFmt w:val="decimal"/>
      <w:lvlText w:val="%7."/>
      <w:lvlJc w:val="left"/>
      <w:pPr>
        <w:tabs>
          <w:tab w:val="num" w:pos="5040"/>
        </w:tabs>
        <w:ind w:left="5040" w:hanging="360"/>
      </w:pPr>
      <w:rPr>
        <w:rFonts w:ascii="Franklin Gothic Book" w:hAnsi="Franklin Gothic Book" w:hint="default"/>
        <w:sz w:val="20"/>
      </w:rPr>
    </w:lvl>
    <w:lvl w:ilvl="7">
      <w:start w:val="1"/>
      <w:numFmt w:val="lowerLetter"/>
      <w:lvlText w:val="%8."/>
      <w:lvlJc w:val="left"/>
      <w:pPr>
        <w:tabs>
          <w:tab w:val="num" w:pos="5760"/>
        </w:tabs>
        <w:ind w:left="5760" w:hanging="360"/>
      </w:pPr>
      <w:rPr>
        <w:rFonts w:ascii="Franklin Gothic Book" w:hAnsi="Franklin Gothic Book" w:hint="default"/>
        <w:sz w:val="20"/>
      </w:rPr>
    </w:lvl>
    <w:lvl w:ilvl="8">
      <w:start w:val="1"/>
      <w:numFmt w:val="lowerRoman"/>
      <w:lvlText w:val="%9."/>
      <w:lvlJc w:val="right"/>
      <w:pPr>
        <w:tabs>
          <w:tab w:val="num" w:pos="6480"/>
        </w:tabs>
        <w:ind w:left="6480" w:hanging="180"/>
      </w:pPr>
      <w:rPr>
        <w:rFonts w:ascii="Franklin Gothic Book" w:hAnsi="Franklin Gothic Book" w:hint="default"/>
        <w:sz w:val="20"/>
      </w:rPr>
    </w:lvl>
  </w:abstractNum>
  <w:abstractNum w:abstractNumId="28">
    <w:nsid w:val="434A366F"/>
    <w:multiLevelType w:val="hybridMultilevel"/>
    <w:tmpl w:val="1016A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AAD1A53"/>
    <w:multiLevelType w:val="multilevel"/>
    <w:tmpl w:val="981E337C"/>
    <w:numStyleLink w:val="SquareBullet"/>
  </w:abstractNum>
  <w:abstractNum w:abstractNumId="30">
    <w:nsid w:val="4FF94CF3"/>
    <w:multiLevelType w:val="hybridMultilevel"/>
    <w:tmpl w:val="E42CE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3C33645"/>
    <w:multiLevelType w:val="hybridMultilevel"/>
    <w:tmpl w:val="472A86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nsid w:val="5435317F"/>
    <w:multiLevelType w:val="multilevel"/>
    <w:tmpl w:val="08090021"/>
    <w:lvl w:ilvl="0">
      <w:start w:val="1"/>
      <w:numFmt w:val="bullet"/>
      <w:lvlText w:val=""/>
      <w:lvlJc w:val="left"/>
      <w:pPr>
        <w:tabs>
          <w:tab w:val="num" w:pos="720"/>
        </w:tabs>
        <w:ind w:left="720" w:hanging="360"/>
      </w:pPr>
      <w:rPr>
        <w:rFonts w:ascii="Wingdings" w:hAnsi="Wingdings" w:hint="default"/>
        <w:color w:val="000000"/>
        <w:sz w:val="19"/>
      </w:rPr>
    </w:lvl>
    <w:lvl w:ilvl="1">
      <w:start w:val="1"/>
      <w:numFmt w:val="bullet"/>
      <w:lvlText w:val=""/>
      <w:lvlJc w:val="left"/>
      <w:pPr>
        <w:tabs>
          <w:tab w:val="num" w:pos="1080"/>
        </w:tabs>
        <w:ind w:left="1080" w:hanging="360"/>
      </w:pPr>
      <w:rPr>
        <w:rFonts w:ascii="Wingdings" w:hAnsi="Wingdings" w:hint="default"/>
        <w:color w:val="000000"/>
        <w:sz w:val="19"/>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3">
    <w:nsid w:val="55DD34C1"/>
    <w:multiLevelType w:val="multilevel"/>
    <w:tmpl w:val="E0BC12A4"/>
    <w:numStyleLink w:val="NumberedBullets"/>
  </w:abstractNum>
  <w:abstractNum w:abstractNumId="34">
    <w:nsid w:val="56AD615C"/>
    <w:multiLevelType w:val="hybridMultilevel"/>
    <w:tmpl w:val="A228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7121A08"/>
    <w:multiLevelType w:val="multilevel"/>
    <w:tmpl w:val="981E337C"/>
    <w:styleLink w:val="SquareBullet"/>
    <w:lvl w:ilvl="0">
      <w:start w:val="1"/>
      <w:numFmt w:val="bullet"/>
      <w:lvlText w:val=""/>
      <w:lvlJc w:val="left"/>
      <w:pPr>
        <w:tabs>
          <w:tab w:val="num" w:pos="720"/>
        </w:tabs>
        <w:ind w:left="720" w:hanging="360"/>
      </w:pPr>
      <w:rPr>
        <w:rFonts w:ascii="Wingdings 2" w:hAnsi="Wingdings 2" w:hint="default"/>
        <w:color w:val="CE118C"/>
        <w:sz w:val="20"/>
      </w:rPr>
    </w:lvl>
    <w:lvl w:ilvl="1">
      <w:start w:val="1"/>
      <w:numFmt w:val="bullet"/>
      <w:lvlText w:val=""/>
      <w:lvlJc w:val="left"/>
      <w:pPr>
        <w:tabs>
          <w:tab w:val="num" w:pos="1080"/>
        </w:tabs>
        <w:ind w:left="1080" w:hanging="360"/>
      </w:pPr>
      <w:rPr>
        <w:rFonts w:ascii="Wingdings 2" w:hAnsi="Wingdings 2" w:hint="default"/>
        <w:color w:val="000000"/>
        <w:sz w:val="20"/>
      </w:rPr>
    </w:lvl>
    <w:lvl w:ilvl="2">
      <w:start w:val="1"/>
      <w:numFmt w:val="bullet"/>
      <w:lvlText w:val=""/>
      <w:lvlJc w:val="left"/>
      <w:pPr>
        <w:tabs>
          <w:tab w:val="num" w:pos="1440"/>
        </w:tabs>
        <w:ind w:left="1440" w:hanging="360"/>
      </w:pPr>
      <w:rPr>
        <w:rFonts w:ascii="Wingdings 2" w:hAnsi="Wingdings 2" w:hint="default"/>
        <w:color w:val="808080"/>
        <w:sz w:val="2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5AB81854"/>
    <w:multiLevelType w:val="hybridMultilevel"/>
    <w:tmpl w:val="F6E2E3A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5C9505FA"/>
    <w:multiLevelType w:val="hybridMultilevel"/>
    <w:tmpl w:val="9418C2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DA70F3A"/>
    <w:multiLevelType w:val="hybridMultilevel"/>
    <w:tmpl w:val="60BC7F70"/>
    <w:lvl w:ilvl="0" w:tplc="D5DCEFA2">
      <w:start w:val="1"/>
      <w:numFmt w:val="decimal"/>
      <w:lvlText w:val="%1."/>
      <w:lvlJc w:val="left"/>
      <w:pPr>
        <w:ind w:left="360" w:hanging="360"/>
      </w:pPr>
      <w:rPr>
        <w:rFonts w:hint="default"/>
        <w:sz w:val="1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611246F5"/>
    <w:multiLevelType w:val="hybridMultilevel"/>
    <w:tmpl w:val="E96C5DBC"/>
    <w:lvl w:ilvl="0" w:tplc="08090013">
      <w:start w:val="1"/>
      <w:numFmt w:val="upp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0">
    <w:nsid w:val="61193861"/>
    <w:multiLevelType w:val="multilevel"/>
    <w:tmpl w:val="E0BC12A4"/>
    <w:numStyleLink w:val="NumberedBullets"/>
  </w:abstractNum>
  <w:abstractNum w:abstractNumId="41">
    <w:nsid w:val="6AE3644D"/>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6D9421AA"/>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40B2CBF"/>
    <w:multiLevelType w:val="hybridMultilevel"/>
    <w:tmpl w:val="A7CCE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4FB025A"/>
    <w:multiLevelType w:val="multilevel"/>
    <w:tmpl w:val="D6425A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Franklin Gothic Book" w:hAnsi="Franklin Gothic Book"/>
        <w:color w:val="000000"/>
        <w:sz w:val="19"/>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7F006671"/>
    <w:multiLevelType w:val="multilevel"/>
    <w:tmpl w:val="981E337C"/>
    <w:numStyleLink w:val="SquareBullet"/>
  </w:abstractNum>
  <w:abstractNum w:abstractNumId="46">
    <w:nsid w:val="7F763093"/>
    <w:multiLevelType w:val="multilevel"/>
    <w:tmpl w:val="E55A667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18"/>
  </w:num>
  <w:num w:numId="4">
    <w:abstractNumId w:val="21"/>
  </w:num>
  <w:num w:numId="5">
    <w:abstractNumId w:val="41"/>
  </w:num>
  <w:num w:numId="6">
    <w:abstractNumId w:val="10"/>
  </w:num>
  <w:num w:numId="7">
    <w:abstractNumId w:val="42"/>
  </w:num>
  <w:num w:numId="8">
    <w:abstractNumId w:val="19"/>
  </w:num>
  <w:num w:numId="9">
    <w:abstractNumId w:val="44"/>
  </w:num>
  <w:num w:numId="10">
    <w:abstractNumId w:val="36"/>
  </w:num>
  <w:num w:numId="11">
    <w:abstractNumId w:val="32"/>
  </w:num>
  <w:num w:numId="12">
    <w:abstractNumId w:val="23"/>
  </w:num>
  <w:num w:numId="13">
    <w:abstractNumId w:val="46"/>
  </w:num>
  <w:num w:numId="14">
    <w:abstractNumId w:val="20"/>
  </w:num>
  <w:num w:numId="15">
    <w:abstractNumId w:val="11"/>
  </w:num>
  <w:num w:numId="16">
    <w:abstractNumId w:val="26"/>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5"/>
  </w:num>
  <w:num w:numId="28">
    <w:abstractNumId w:val="29"/>
  </w:num>
  <w:num w:numId="29">
    <w:abstractNumId w:val="27"/>
  </w:num>
  <w:num w:numId="30">
    <w:abstractNumId w:val="33"/>
  </w:num>
  <w:num w:numId="31">
    <w:abstractNumId w:val="45"/>
  </w:num>
  <w:num w:numId="32">
    <w:abstractNumId w:val="40"/>
  </w:num>
  <w:num w:numId="33">
    <w:abstractNumId w:val="16"/>
  </w:num>
  <w:num w:numId="34">
    <w:abstractNumId w:val="31"/>
  </w:num>
  <w:num w:numId="35">
    <w:abstractNumId w:val="28"/>
  </w:num>
  <w:num w:numId="36">
    <w:abstractNumId w:val="43"/>
  </w:num>
  <w:num w:numId="37">
    <w:abstractNumId w:val="25"/>
  </w:num>
  <w:num w:numId="38">
    <w:abstractNumId w:val="24"/>
  </w:num>
  <w:num w:numId="39">
    <w:abstractNumId w:val="12"/>
  </w:num>
  <w:num w:numId="40">
    <w:abstractNumId w:val="38"/>
  </w:num>
  <w:num w:numId="41">
    <w:abstractNumId w:val="22"/>
  </w:num>
  <w:num w:numId="42">
    <w:abstractNumId w:val="30"/>
  </w:num>
  <w:num w:numId="43">
    <w:abstractNumId w:val="14"/>
  </w:num>
  <w:num w:numId="44">
    <w:abstractNumId w:val="34"/>
  </w:num>
  <w:num w:numId="45">
    <w:abstractNumId w:val="39"/>
  </w:num>
  <w:num w:numId="46">
    <w:abstractNumId w:val="17"/>
  </w:num>
  <w:num w:numId="47">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04"/>
  <w:displayHorizontalDrawingGridEvery w:val="0"/>
  <w:displayVerticalDrawingGridEvery w:val="0"/>
  <w:doNotUseMarginsForDrawingGridOrigin/>
  <w:noPunctuationKerning/>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B55"/>
    <w:rsid w:val="00002747"/>
    <w:rsid w:val="0000383E"/>
    <w:rsid w:val="00004F32"/>
    <w:rsid w:val="0000703C"/>
    <w:rsid w:val="00015273"/>
    <w:rsid w:val="000152F0"/>
    <w:rsid w:val="0001592C"/>
    <w:rsid w:val="000169E7"/>
    <w:rsid w:val="00021F92"/>
    <w:rsid w:val="00022837"/>
    <w:rsid w:val="00027DAE"/>
    <w:rsid w:val="00035C86"/>
    <w:rsid w:val="00036136"/>
    <w:rsid w:val="00047624"/>
    <w:rsid w:val="00047A41"/>
    <w:rsid w:val="00061046"/>
    <w:rsid w:val="00062E73"/>
    <w:rsid w:val="00063543"/>
    <w:rsid w:val="00063969"/>
    <w:rsid w:val="000639C7"/>
    <w:rsid w:val="00082645"/>
    <w:rsid w:val="00087EAF"/>
    <w:rsid w:val="000919C5"/>
    <w:rsid w:val="00092BEF"/>
    <w:rsid w:val="0009751E"/>
    <w:rsid w:val="000A5267"/>
    <w:rsid w:val="000A61C7"/>
    <w:rsid w:val="000B2726"/>
    <w:rsid w:val="000B5637"/>
    <w:rsid w:val="000B5F65"/>
    <w:rsid w:val="000B60CB"/>
    <w:rsid w:val="000B6DFB"/>
    <w:rsid w:val="000C1A29"/>
    <w:rsid w:val="000C4AAD"/>
    <w:rsid w:val="000D0BE1"/>
    <w:rsid w:val="000D3D39"/>
    <w:rsid w:val="000D4137"/>
    <w:rsid w:val="000D73A0"/>
    <w:rsid w:val="000D79C5"/>
    <w:rsid w:val="000D7EBF"/>
    <w:rsid w:val="000E4117"/>
    <w:rsid w:val="000E7893"/>
    <w:rsid w:val="000F0AE4"/>
    <w:rsid w:val="000F76C5"/>
    <w:rsid w:val="00102242"/>
    <w:rsid w:val="00104233"/>
    <w:rsid w:val="001043E8"/>
    <w:rsid w:val="00105AB0"/>
    <w:rsid w:val="001060CC"/>
    <w:rsid w:val="00106AB2"/>
    <w:rsid w:val="00112048"/>
    <w:rsid w:val="00112B10"/>
    <w:rsid w:val="00115CBD"/>
    <w:rsid w:val="0012119B"/>
    <w:rsid w:val="00125063"/>
    <w:rsid w:val="00127A2A"/>
    <w:rsid w:val="00132D36"/>
    <w:rsid w:val="00133534"/>
    <w:rsid w:val="00135555"/>
    <w:rsid w:val="001403CE"/>
    <w:rsid w:val="001411AF"/>
    <w:rsid w:val="0014289A"/>
    <w:rsid w:val="00147BF9"/>
    <w:rsid w:val="00150CFF"/>
    <w:rsid w:val="00155786"/>
    <w:rsid w:val="0016718A"/>
    <w:rsid w:val="001674A6"/>
    <w:rsid w:val="00167DA6"/>
    <w:rsid w:val="00171C83"/>
    <w:rsid w:val="001722A1"/>
    <w:rsid w:val="001727A0"/>
    <w:rsid w:val="00173C95"/>
    <w:rsid w:val="00180DA6"/>
    <w:rsid w:val="00181973"/>
    <w:rsid w:val="00184A48"/>
    <w:rsid w:val="0018576F"/>
    <w:rsid w:val="00186B9D"/>
    <w:rsid w:val="00192A84"/>
    <w:rsid w:val="001952D1"/>
    <w:rsid w:val="00195763"/>
    <w:rsid w:val="001A12C7"/>
    <w:rsid w:val="001A36D8"/>
    <w:rsid w:val="001A624F"/>
    <w:rsid w:val="001A7A87"/>
    <w:rsid w:val="001B23CF"/>
    <w:rsid w:val="001B4292"/>
    <w:rsid w:val="001B6758"/>
    <w:rsid w:val="001C6C8A"/>
    <w:rsid w:val="001D28FA"/>
    <w:rsid w:val="001E04EA"/>
    <w:rsid w:val="001E10E0"/>
    <w:rsid w:val="001E3B2B"/>
    <w:rsid w:val="001E420A"/>
    <w:rsid w:val="001E5707"/>
    <w:rsid w:val="001F60F6"/>
    <w:rsid w:val="001F6736"/>
    <w:rsid w:val="0020771D"/>
    <w:rsid w:val="00223E48"/>
    <w:rsid w:val="00225401"/>
    <w:rsid w:val="00226FBE"/>
    <w:rsid w:val="00233C77"/>
    <w:rsid w:val="002374BF"/>
    <w:rsid w:val="002417A5"/>
    <w:rsid w:val="0025203B"/>
    <w:rsid w:val="0025285A"/>
    <w:rsid w:val="00252ABF"/>
    <w:rsid w:val="00254BA4"/>
    <w:rsid w:val="002553DA"/>
    <w:rsid w:val="00261B49"/>
    <w:rsid w:val="0027484E"/>
    <w:rsid w:val="002822D6"/>
    <w:rsid w:val="0028435A"/>
    <w:rsid w:val="00284867"/>
    <w:rsid w:val="002919C1"/>
    <w:rsid w:val="00295C17"/>
    <w:rsid w:val="002A030D"/>
    <w:rsid w:val="002A53F8"/>
    <w:rsid w:val="002A753F"/>
    <w:rsid w:val="002A7BDC"/>
    <w:rsid w:val="002B2DB5"/>
    <w:rsid w:val="002B3B36"/>
    <w:rsid w:val="002B5F4C"/>
    <w:rsid w:val="002B66DC"/>
    <w:rsid w:val="002C2756"/>
    <w:rsid w:val="002C4BC6"/>
    <w:rsid w:val="002D0492"/>
    <w:rsid w:val="002D582E"/>
    <w:rsid w:val="002D77F8"/>
    <w:rsid w:val="002E135E"/>
    <w:rsid w:val="002E1BA7"/>
    <w:rsid w:val="002E4327"/>
    <w:rsid w:val="002E6808"/>
    <w:rsid w:val="002F262E"/>
    <w:rsid w:val="002F750C"/>
    <w:rsid w:val="00303A36"/>
    <w:rsid w:val="00304D52"/>
    <w:rsid w:val="00313B25"/>
    <w:rsid w:val="0032013D"/>
    <w:rsid w:val="00326935"/>
    <w:rsid w:val="0032765C"/>
    <w:rsid w:val="00330559"/>
    <w:rsid w:val="00334F8C"/>
    <w:rsid w:val="003354DB"/>
    <w:rsid w:val="00343574"/>
    <w:rsid w:val="00345C2E"/>
    <w:rsid w:val="0035199F"/>
    <w:rsid w:val="003553F9"/>
    <w:rsid w:val="003567CB"/>
    <w:rsid w:val="003779F9"/>
    <w:rsid w:val="003828B0"/>
    <w:rsid w:val="00383E50"/>
    <w:rsid w:val="00385DA7"/>
    <w:rsid w:val="003868D0"/>
    <w:rsid w:val="00386BE9"/>
    <w:rsid w:val="003900F3"/>
    <w:rsid w:val="00391BFE"/>
    <w:rsid w:val="003A1C6E"/>
    <w:rsid w:val="003A62E0"/>
    <w:rsid w:val="003B12AA"/>
    <w:rsid w:val="003B21FD"/>
    <w:rsid w:val="003B26F4"/>
    <w:rsid w:val="003B44BC"/>
    <w:rsid w:val="003B7B24"/>
    <w:rsid w:val="003C73C0"/>
    <w:rsid w:val="003C793B"/>
    <w:rsid w:val="003D00C8"/>
    <w:rsid w:val="003D442C"/>
    <w:rsid w:val="003E0D33"/>
    <w:rsid w:val="003E240F"/>
    <w:rsid w:val="003E4938"/>
    <w:rsid w:val="003E7E77"/>
    <w:rsid w:val="003F0767"/>
    <w:rsid w:val="003F1267"/>
    <w:rsid w:val="003F502D"/>
    <w:rsid w:val="003F5C11"/>
    <w:rsid w:val="003F70E8"/>
    <w:rsid w:val="003F7237"/>
    <w:rsid w:val="00403C6D"/>
    <w:rsid w:val="004044E5"/>
    <w:rsid w:val="00405FAA"/>
    <w:rsid w:val="00406E09"/>
    <w:rsid w:val="00422AEB"/>
    <w:rsid w:val="00423668"/>
    <w:rsid w:val="004310F1"/>
    <w:rsid w:val="0043190D"/>
    <w:rsid w:val="00432EF3"/>
    <w:rsid w:val="004349E0"/>
    <w:rsid w:val="004376AE"/>
    <w:rsid w:val="00443000"/>
    <w:rsid w:val="004444C2"/>
    <w:rsid w:val="00455701"/>
    <w:rsid w:val="00456B90"/>
    <w:rsid w:val="00457E42"/>
    <w:rsid w:val="00462E51"/>
    <w:rsid w:val="00464895"/>
    <w:rsid w:val="0047250A"/>
    <w:rsid w:val="00474EF5"/>
    <w:rsid w:val="004876E2"/>
    <w:rsid w:val="00494A35"/>
    <w:rsid w:val="00495CA3"/>
    <w:rsid w:val="004967EC"/>
    <w:rsid w:val="004A6232"/>
    <w:rsid w:val="004B25FC"/>
    <w:rsid w:val="004B28CC"/>
    <w:rsid w:val="004B37CE"/>
    <w:rsid w:val="004B4663"/>
    <w:rsid w:val="004B6BE9"/>
    <w:rsid w:val="004C303E"/>
    <w:rsid w:val="004C59A7"/>
    <w:rsid w:val="004C76D7"/>
    <w:rsid w:val="004D03CA"/>
    <w:rsid w:val="004D0883"/>
    <w:rsid w:val="004D2B76"/>
    <w:rsid w:val="004D6AD3"/>
    <w:rsid w:val="004E26C9"/>
    <w:rsid w:val="004F591C"/>
    <w:rsid w:val="004F6584"/>
    <w:rsid w:val="004F6BD9"/>
    <w:rsid w:val="005007AA"/>
    <w:rsid w:val="00501FF7"/>
    <w:rsid w:val="00507369"/>
    <w:rsid w:val="00507A71"/>
    <w:rsid w:val="0051147B"/>
    <w:rsid w:val="005142F4"/>
    <w:rsid w:val="00515C0D"/>
    <w:rsid w:val="00521C5C"/>
    <w:rsid w:val="00521E6B"/>
    <w:rsid w:val="00522C3F"/>
    <w:rsid w:val="00525751"/>
    <w:rsid w:val="0053096D"/>
    <w:rsid w:val="00531C3F"/>
    <w:rsid w:val="0054072B"/>
    <w:rsid w:val="00540818"/>
    <w:rsid w:val="00544E3D"/>
    <w:rsid w:val="00544FA5"/>
    <w:rsid w:val="00547A22"/>
    <w:rsid w:val="00560A0E"/>
    <w:rsid w:val="005619A2"/>
    <w:rsid w:val="00575E97"/>
    <w:rsid w:val="00576891"/>
    <w:rsid w:val="00582082"/>
    <w:rsid w:val="00584408"/>
    <w:rsid w:val="00586A20"/>
    <w:rsid w:val="00587B3B"/>
    <w:rsid w:val="00590113"/>
    <w:rsid w:val="00590A06"/>
    <w:rsid w:val="005927C2"/>
    <w:rsid w:val="005A035F"/>
    <w:rsid w:val="005A05AC"/>
    <w:rsid w:val="005A1F18"/>
    <w:rsid w:val="005A3200"/>
    <w:rsid w:val="005A3A39"/>
    <w:rsid w:val="005A4B7B"/>
    <w:rsid w:val="005A6A25"/>
    <w:rsid w:val="005B2B15"/>
    <w:rsid w:val="005C6B48"/>
    <w:rsid w:val="005D0A3C"/>
    <w:rsid w:val="005E4D97"/>
    <w:rsid w:val="005E50DC"/>
    <w:rsid w:val="005E5832"/>
    <w:rsid w:val="005F41CC"/>
    <w:rsid w:val="0061269A"/>
    <w:rsid w:val="00622E86"/>
    <w:rsid w:val="006233AC"/>
    <w:rsid w:val="006252DA"/>
    <w:rsid w:val="00625F92"/>
    <w:rsid w:val="00626EEE"/>
    <w:rsid w:val="006277BD"/>
    <w:rsid w:val="00634118"/>
    <w:rsid w:val="00634EE4"/>
    <w:rsid w:val="00635782"/>
    <w:rsid w:val="006368D1"/>
    <w:rsid w:val="006511E4"/>
    <w:rsid w:val="006525DA"/>
    <w:rsid w:val="006527D0"/>
    <w:rsid w:val="00652DA2"/>
    <w:rsid w:val="00652F03"/>
    <w:rsid w:val="00654154"/>
    <w:rsid w:val="00654E58"/>
    <w:rsid w:val="006552D0"/>
    <w:rsid w:val="0065756F"/>
    <w:rsid w:val="00661695"/>
    <w:rsid w:val="006653F1"/>
    <w:rsid w:val="00666632"/>
    <w:rsid w:val="00671D92"/>
    <w:rsid w:val="00672C6B"/>
    <w:rsid w:val="00673377"/>
    <w:rsid w:val="00684C02"/>
    <w:rsid w:val="00691516"/>
    <w:rsid w:val="0069238B"/>
    <w:rsid w:val="00692EC0"/>
    <w:rsid w:val="00694D8B"/>
    <w:rsid w:val="006A24E5"/>
    <w:rsid w:val="006A317F"/>
    <w:rsid w:val="006A32AF"/>
    <w:rsid w:val="006A5A92"/>
    <w:rsid w:val="006A779C"/>
    <w:rsid w:val="006B02D1"/>
    <w:rsid w:val="006B14EE"/>
    <w:rsid w:val="006B21D5"/>
    <w:rsid w:val="006B369D"/>
    <w:rsid w:val="006C0EC0"/>
    <w:rsid w:val="006C10BC"/>
    <w:rsid w:val="006C1235"/>
    <w:rsid w:val="006C5E7F"/>
    <w:rsid w:val="006C6DFC"/>
    <w:rsid w:val="006C7FB6"/>
    <w:rsid w:val="006E0B1F"/>
    <w:rsid w:val="006E2A79"/>
    <w:rsid w:val="006E4E56"/>
    <w:rsid w:val="006F06E0"/>
    <w:rsid w:val="006F4264"/>
    <w:rsid w:val="006F5F3B"/>
    <w:rsid w:val="006F7478"/>
    <w:rsid w:val="006F7BD2"/>
    <w:rsid w:val="00701B4F"/>
    <w:rsid w:val="00703165"/>
    <w:rsid w:val="00710EA5"/>
    <w:rsid w:val="00710F2A"/>
    <w:rsid w:val="0071272A"/>
    <w:rsid w:val="007173C7"/>
    <w:rsid w:val="007227EB"/>
    <w:rsid w:val="00725433"/>
    <w:rsid w:val="007343ED"/>
    <w:rsid w:val="0074099A"/>
    <w:rsid w:val="00741D0A"/>
    <w:rsid w:val="007422B0"/>
    <w:rsid w:val="007466AF"/>
    <w:rsid w:val="00750FEB"/>
    <w:rsid w:val="00752ABE"/>
    <w:rsid w:val="00753B0C"/>
    <w:rsid w:val="00755DDE"/>
    <w:rsid w:val="007570F2"/>
    <w:rsid w:val="00761D1C"/>
    <w:rsid w:val="00764649"/>
    <w:rsid w:val="007721D0"/>
    <w:rsid w:val="00772980"/>
    <w:rsid w:val="00772DF1"/>
    <w:rsid w:val="007743FE"/>
    <w:rsid w:val="00790941"/>
    <w:rsid w:val="00795F9C"/>
    <w:rsid w:val="00797CF8"/>
    <w:rsid w:val="007A34EF"/>
    <w:rsid w:val="007A6276"/>
    <w:rsid w:val="007B4142"/>
    <w:rsid w:val="007B4F9A"/>
    <w:rsid w:val="007B6A8B"/>
    <w:rsid w:val="007C3FE1"/>
    <w:rsid w:val="007E0F76"/>
    <w:rsid w:val="007F1E48"/>
    <w:rsid w:val="007F3EAA"/>
    <w:rsid w:val="007F788F"/>
    <w:rsid w:val="0080429E"/>
    <w:rsid w:val="00810DBB"/>
    <w:rsid w:val="008113EC"/>
    <w:rsid w:val="00812C46"/>
    <w:rsid w:val="0081380C"/>
    <w:rsid w:val="008202EA"/>
    <w:rsid w:val="00822059"/>
    <w:rsid w:val="0082567A"/>
    <w:rsid w:val="00831196"/>
    <w:rsid w:val="0083209A"/>
    <w:rsid w:val="00832DA1"/>
    <w:rsid w:val="00833C77"/>
    <w:rsid w:val="00836BFC"/>
    <w:rsid w:val="008408BE"/>
    <w:rsid w:val="008412E2"/>
    <w:rsid w:val="0084529B"/>
    <w:rsid w:val="0084711B"/>
    <w:rsid w:val="00847184"/>
    <w:rsid w:val="00850EE7"/>
    <w:rsid w:val="00856C8F"/>
    <w:rsid w:val="008625DE"/>
    <w:rsid w:val="00864684"/>
    <w:rsid w:val="0086792F"/>
    <w:rsid w:val="008701E5"/>
    <w:rsid w:val="00870B7A"/>
    <w:rsid w:val="00875B4D"/>
    <w:rsid w:val="008766B9"/>
    <w:rsid w:val="00876B0D"/>
    <w:rsid w:val="008776D7"/>
    <w:rsid w:val="00877851"/>
    <w:rsid w:val="00882AB2"/>
    <w:rsid w:val="008836B7"/>
    <w:rsid w:val="00885950"/>
    <w:rsid w:val="00891470"/>
    <w:rsid w:val="00891F56"/>
    <w:rsid w:val="008A6ADB"/>
    <w:rsid w:val="008A7042"/>
    <w:rsid w:val="008A716D"/>
    <w:rsid w:val="008A7DEE"/>
    <w:rsid w:val="008B3923"/>
    <w:rsid w:val="008B6E6B"/>
    <w:rsid w:val="008D79B3"/>
    <w:rsid w:val="008E207F"/>
    <w:rsid w:val="008E21FE"/>
    <w:rsid w:val="008E4EB7"/>
    <w:rsid w:val="008F1C73"/>
    <w:rsid w:val="008F206A"/>
    <w:rsid w:val="008F4406"/>
    <w:rsid w:val="008F6FD5"/>
    <w:rsid w:val="00902FEC"/>
    <w:rsid w:val="0090513D"/>
    <w:rsid w:val="0090671F"/>
    <w:rsid w:val="00910A08"/>
    <w:rsid w:val="00910D46"/>
    <w:rsid w:val="009129F8"/>
    <w:rsid w:val="0091651F"/>
    <w:rsid w:val="00931286"/>
    <w:rsid w:val="009362C4"/>
    <w:rsid w:val="009368B9"/>
    <w:rsid w:val="009412F3"/>
    <w:rsid w:val="00947F2D"/>
    <w:rsid w:val="0097181B"/>
    <w:rsid w:val="00972EA9"/>
    <w:rsid w:val="00982656"/>
    <w:rsid w:val="00983B7C"/>
    <w:rsid w:val="009844CC"/>
    <w:rsid w:val="009847F9"/>
    <w:rsid w:val="0098602D"/>
    <w:rsid w:val="0099635B"/>
    <w:rsid w:val="009A0312"/>
    <w:rsid w:val="009A0B27"/>
    <w:rsid w:val="009A17FE"/>
    <w:rsid w:val="009A57C5"/>
    <w:rsid w:val="009B07BA"/>
    <w:rsid w:val="009B545E"/>
    <w:rsid w:val="009B56FA"/>
    <w:rsid w:val="009B6D4C"/>
    <w:rsid w:val="009C14D3"/>
    <w:rsid w:val="009C218D"/>
    <w:rsid w:val="009C3D92"/>
    <w:rsid w:val="009C4D45"/>
    <w:rsid w:val="009C55CE"/>
    <w:rsid w:val="009C588A"/>
    <w:rsid w:val="009D17BD"/>
    <w:rsid w:val="009D3090"/>
    <w:rsid w:val="009D40A1"/>
    <w:rsid w:val="009E23D8"/>
    <w:rsid w:val="009E34F0"/>
    <w:rsid w:val="009E3F7B"/>
    <w:rsid w:val="009E543B"/>
    <w:rsid w:val="009E6A30"/>
    <w:rsid w:val="009F09D8"/>
    <w:rsid w:val="009F4566"/>
    <w:rsid w:val="00A0263A"/>
    <w:rsid w:val="00A02919"/>
    <w:rsid w:val="00A043C5"/>
    <w:rsid w:val="00A05F6C"/>
    <w:rsid w:val="00A067E4"/>
    <w:rsid w:val="00A10588"/>
    <w:rsid w:val="00A14386"/>
    <w:rsid w:val="00A22039"/>
    <w:rsid w:val="00A3049E"/>
    <w:rsid w:val="00A332D3"/>
    <w:rsid w:val="00A33B11"/>
    <w:rsid w:val="00A46000"/>
    <w:rsid w:val="00A51B55"/>
    <w:rsid w:val="00A51BCE"/>
    <w:rsid w:val="00A54318"/>
    <w:rsid w:val="00A56412"/>
    <w:rsid w:val="00A6054B"/>
    <w:rsid w:val="00A616BF"/>
    <w:rsid w:val="00A62204"/>
    <w:rsid w:val="00A65B44"/>
    <w:rsid w:val="00A67538"/>
    <w:rsid w:val="00A7037E"/>
    <w:rsid w:val="00A7042D"/>
    <w:rsid w:val="00A732A7"/>
    <w:rsid w:val="00A73CAB"/>
    <w:rsid w:val="00A75D7D"/>
    <w:rsid w:val="00A855B1"/>
    <w:rsid w:val="00A946B8"/>
    <w:rsid w:val="00AA31B4"/>
    <w:rsid w:val="00AB0E08"/>
    <w:rsid w:val="00AB3871"/>
    <w:rsid w:val="00AC7F8F"/>
    <w:rsid w:val="00AD0C8E"/>
    <w:rsid w:val="00AD52A5"/>
    <w:rsid w:val="00AE10C1"/>
    <w:rsid w:val="00AE43E6"/>
    <w:rsid w:val="00AF069C"/>
    <w:rsid w:val="00B0014A"/>
    <w:rsid w:val="00B01916"/>
    <w:rsid w:val="00B047B9"/>
    <w:rsid w:val="00B05B3E"/>
    <w:rsid w:val="00B07370"/>
    <w:rsid w:val="00B1157E"/>
    <w:rsid w:val="00B13110"/>
    <w:rsid w:val="00B13C21"/>
    <w:rsid w:val="00B13E2C"/>
    <w:rsid w:val="00B175DB"/>
    <w:rsid w:val="00B176D6"/>
    <w:rsid w:val="00B176E5"/>
    <w:rsid w:val="00B2013B"/>
    <w:rsid w:val="00B2242E"/>
    <w:rsid w:val="00B22AC6"/>
    <w:rsid w:val="00B269BA"/>
    <w:rsid w:val="00B3347B"/>
    <w:rsid w:val="00B35992"/>
    <w:rsid w:val="00B4670F"/>
    <w:rsid w:val="00B51427"/>
    <w:rsid w:val="00B519D2"/>
    <w:rsid w:val="00B544A0"/>
    <w:rsid w:val="00B5456C"/>
    <w:rsid w:val="00B60464"/>
    <w:rsid w:val="00B706AD"/>
    <w:rsid w:val="00B72044"/>
    <w:rsid w:val="00B72282"/>
    <w:rsid w:val="00B76F4F"/>
    <w:rsid w:val="00B809EF"/>
    <w:rsid w:val="00B84B77"/>
    <w:rsid w:val="00B867D3"/>
    <w:rsid w:val="00B908A1"/>
    <w:rsid w:val="00B91BD7"/>
    <w:rsid w:val="00B93454"/>
    <w:rsid w:val="00B935B8"/>
    <w:rsid w:val="00B950FE"/>
    <w:rsid w:val="00B976D8"/>
    <w:rsid w:val="00BA017A"/>
    <w:rsid w:val="00BB048B"/>
    <w:rsid w:val="00BB1B01"/>
    <w:rsid w:val="00BB1BB7"/>
    <w:rsid w:val="00BB1DE8"/>
    <w:rsid w:val="00BB3F93"/>
    <w:rsid w:val="00BB45CA"/>
    <w:rsid w:val="00BB59BF"/>
    <w:rsid w:val="00BB78CA"/>
    <w:rsid w:val="00BC4057"/>
    <w:rsid w:val="00BC4FE3"/>
    <w:rsid w:val="00BD2711"/>
    <w:rsid w:val="00BD3D60"/>
    <w:rsid w:val="00BD6465"/>
    <w:rsid w:val="00BE0F51"/>
    <w:rsid w:val="00BE49A0"/>
    <w:rsid w:val="00BE7FE5"/>
    <w:rsid w:val="00BF07C1"/>
    <w:rsid w:val="00BF2585"/>
    <w:rsid w:val="00BF324F"/>
    <w:rsid w:val="00BF4D99"/>
    <w:rsid w:val="00C01A5B"/>
    <w:rsid w:val="00C02420"/>
    <w:rsid w:val="00C10DA0"/>
    <w:rsid w:val="00C23E28"/>
    <w:rsid w:val="00C24236"/>
    <w:rsid w:val="00C27CA5"/>
    <w:rsid w:val="00C300C1"/>
    <w:rsid w:val="00C31287"/>
    <w:rsid w:val="00C32994"/>
    <w:rsid w:val="00C351B6"/>
    <w:rsid w:val="00C35ACC"/>
    <w:rsid w:val="00C368F4"/>
    <w:rsid w:val="00C435FA"/>
    <w:rsid w:val="00C4415A"/>
    <w:rsid w:val="00C446FA"/>
    <w:rsid w:val="00C462C8"/>
    <w:rsid w:val="00C52A64"/>
    <w:rsid w:val="00C52C66"/>
    <w:rsid w:val="00C56DFD"/>
    <w:rsid w:val="00C57AF0"/>
    <w:rsid w:val="00C62E75"/>
    <w:rsid w:val="00C7519C"/>
    <w:rsid w:val="00C76919"/>
    <w:rsid w:val="00C77627"/>
    <w:rsid w:val="00C818C9"/>
    <w:rsid w:val="00C837DD"/>
    <w:rsid w:val="00C9019A"/>
    <w:rsid w:val="00C9470D"/>
    <w:rsid w:val="00CA63E7"/>
    <w:rsid w:val="00CB6E14"/>
    <w:rsid w:val="00CB7864"/>
    <w:rsid w:val="00CC134B"/>
    <w:rsid w:val="00CC4B2D"/>
    <w:rsid w:val="00CD0817"/>
    <w:rsid w:val="00CD2EF7"/>
    <w:rsid w:val="00CD6D92"/>
    <w:rsid w:val="00CE2F73"/>
    <w:rsid w:val="00CE3910"/>
    <w:rsid w:val="00CE53B3"/>
    <w:rsid w:val="00CE614C"/>
    <w:rsid w:val="00CE773B"/>
    <w:rsid w:val="00CF1A21"/>
    <w:rsid w:val="00CF6A5F"/>
    <w:rsid w:val="00D01926"/>
    <w:rsid w:val="00D0243B"/>
    <w:rsid w:val="00D06DE9"/>
    <w:rsid w:val="00D1020F"/>
    <w:rsid w:val="00D11CDB"/>
    <w:rsid w:val="00D1414F"/>
    <w:rsid w:val="00D14B5E"/>
    <w:rsid w:val="00D151DB"/>
    <w:rsid w:val="00D173FD"/>
    <w:rsid w:val="00D22AB6"/>
    <w:rsid w:val="00D23243"/>
    <w:rsid w:val="00D2423A"/>
    <w:rsid w:val="00D3032A"/>
    <w:rsid w:val="00D30959"/>
    <w:rsid w:val="00D31E04"/>
    <w:rsid w:val="00D33E91"/>
    <w:rsid w:val="00D419D0"/>
    <w:rsid w:val="00D50717"/>
    <w:rsid w:val="00D512C1"/>
    <w:rsid w:val="00D57421"/>
    <w:rsid w:val="00D61C32"/>
    <w:rsid w:val="00D7012A"/>
    <w:rsid w:val="00D73676"/>
    <w:rsid w:val="00D77F32"/>
    <w:rsid w:val="00D82EA5"/>
    <w:rsid w:val="00D83B4F"/>
    <w:rsid w:val="00D872DE"/>
    <w:rsid w:val="00D940B6"/>
    <w:rsid w:val="00D94228"/>
    <w:rsid w:val="00DB1081"/>
    <w:rsid w:val="00DB5FA9"/>
    <w:rsid w:val="00DB743E"/>
    <w:rsid w:val="00DC2AA9"/>
    <w:rsid w:val="00DC41E0"/>
    <w:rsid w:val="00DC6FEC"/>
    <w:rsid w:val="00DD32BA"/>
    <w:rsid w:val="00DE37D9"/>
    <w:rsid w:val="00DE7B1D"/>
    <w:rsid w:val="00DF340F"/>
    <w:rsid w:val="00DF3FEA"/>
    <w:rsid w:val="00DF59A6"/>
    <w:rsid w:val="00DF5C95"/>
    <w:rsid w:val="00DF5EDF"/>
    <w:rsid w:val="00E0245C"/>
    <w:rsid w:val="00E052E1"/>
    <w:rsid w:val="00E05E1A"/>
    <w:rsid w:val="00E067E1"/>
    <w:rsid w:val="00E07063"/>
    <w:rsid w:val="00E07454"/>
    <w:rsid w:val="00E13B2F"/>
    <w:rsid w:val="00E143DC"/>
    <w:rsid w:val="00E204C1"/>
    <w:rsid w:val="00E23734"/>
    <w:rsid w:val="00E317AF"/>
    <w:rsid w:val="00E37251"/>
    <w:rsid w:val="00E425F3"/>
    <w:rsid w:val="00E44CBA"/>
    <w:rsid w:val="00E458EF"/>
    <w:rsid w:val="00E45E6E"/>
    <w:rsid w:val="00E544A2"/>
    <w:rsid w:val="00E565BC"/>
    <w:rsid w:val="00E56C35"/>
    <w:rsid w:val="00E641ED"/>
    <w:rsid w:val="00E707D7"/>
    <w:rsid w:val="00E73A2D"/>
    <w:rsid w:val="00E75EC4"/>
    <w:rsid w:val="00E80E53"/>
    <w:rsid w:val="00E85CC9"/>
    <w:rsid w:val="00E87197"/>
    <w:rsid w:val="00E969C4"/>
    <w:rsid w:val="00E96A61"/>
    <w:rsid w:val="00EA1E45"/>
    <w:rsid w:val="00EA3BCB"/>
    <w:rsid w:val="00EA5C83"/>
    <w:rsid w:val="00EB1BC9"/>
    <w:rsid w:val="00EB2BEC"/>
    <w:rsid w:val="00EC50FB"/>
    <w:rsid w:val="00EC7821"/>
    <w:rsid w:val="00ED0146"/>
    <w:rsid w:val="00ED2689"/>
    <w:rsid w:val="00ED3EE0"/>
    <w:rsid w:val="00ED49A8"/>
    <w:rsid w:val="00ED535A"/>
    <w:rsid w:val="00ED5901"/>
    <w:rsid w:val="00EF25E2"/>
    <w:rsid w:val="00EF2DB0"/>
    <w:rsid w:val="00EF48F0"/>
    <w:rsid w:val="00EF52E3"/>
    <w:rsid w:val="00EF5510"/>
    <w:rsid w:val="00EF7632"/>
    <w:rsid w:val="00EF79B0"/>
    <w:rsid w:val="00F01947"/>
    <w:rsid w:val="00F05967"/>
    <w:rsid w:val="00F06AF3"/>
    <w:rsid w:val="00F10872"/>
    <w:rsid w:val="00F12916"/>
    <w:rsid w:val="00F1349D"/>
    <w:rsid w:val="00F14E5C"/>
    <w:rsid w:val="00F1549C"/>
    <w:rsid w:val="00F218F9"/>
    <w:rsid w:val="00F21E5F"/>
    <w:rsid w:val="00F312DD"/>
    <w:rsid w:val="00F33811"/>
    <w:rsid w:val="00F42393"/>
    <w:rsid w:val="00F45707"/>
    <w:rsid w:val="00F45D8A"/>
    <w:rsid w:val="00F550A3"/>
    <w:rsid w:val="00F667D6"/>
    <w:rsid w:val="00F67FA6"/>
    <w:rsid w:val="00F71058"/>
    <w:rsid w:val="00F721FE"/>
    <w:rsid w:val="00F72600"/>
    <w:rsid w:val="00F7387F"/>
    <w:rsid w:val="00F8717E"/>
    <w:rsid w:val="00F90756"/>
    <w:rsid w:val="00F9094C"/>
    <w:rsid w:val="00F937CD"/>
    <w:rsid w:val="00F9408B"/>
    <w:rsid w:val="00F95811"/>
    <w:rsid w:val="00FA2734"/>
    <w:rsid w:val="00FA3B02"/>
    <w:rsid w:val="00FA463D"/>
    <w:rsid w:val="00FA4CAD"/>
    <w:rsid w:val="00FC032A"/>
    <w:rsid w:val="00FC292A"/>
    <w:rsid w:val="00FC38E3"/>
    <w:rsid w:val="00FD2126"/>
    <w:rsid w:val="00FD43C0"/>
    <w:rsid w:val="00FD6896"/>
    <w:rsid w:val="00FE10C1"/>
    <w:rsid w:val="00FE2E7E"/>
    <w:rsid w:val="00FE39DC"/>
    <w:rsid w:val="00FE3E2C"/>
    <w:rsid w:val="00FE4DD7"/>
    <w:rsid w:val="00FE54B5"/>
    <w:rsid w:val="00FF0908"/>
    <w:rsid w:val="00FF5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27"/>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9"/>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27"/>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9"/>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28119">
      <w:bodyDiv w:val="1"/>
      <w:marLeft w:val="0"/>
      <w:marRight w:val="0"/>
      <w:marTop w:val="0"/>
      <w:marBottom w:val="0"/>
      <w:divBdr>
        <w:top w:val="none" w:sz="0" w:space="0" w:color="auto"/>
        <w:left w:val="none" w:sz="0" w:space="0" w:color="auto"/>
        <w:bottom w:val="none" w:sz="0" w:space="0" w:color="auto"/>
        <w:right w:val="none" w:sz="0" w:space="0" w:color="auto"/>
      </w:divBdr>
    </w:div>
    <w:div w:id="851576360">
      <w:bodyDiv w:val="1"/>
      <w:marLeft w:val="0"/>
      <w:marRight w:val="0"/>
      <w:marTop w:val="0"/>
      <w:marBottom w:val="0"/>
      <w:divBdr>
        <w:top w:val="none" w:sz="0" w:space="0" w:color="auto"/>
        <w:left w:val="none" w:sz="0" w:space="0" w:color="auto"/>
        <w:bottom w:val="none" w:sz="0" w:space="0" w:color="auto"/>
        <w:right w:val="none" w:sz="0" w:space="0" w:color="auto"/>
      </w:divBdr>
    </w:div>
    <w:div w:id="871839820">
      <w:bodyDiv w:val="1"/>
      <w:marLeft w:val="0"/>
      <w:marRight w:val="0"/>
      <w:marTop w:val="0"/>
      <w:marBottom w:val="0"/>
      <w:divBdr>
        <w:top w:val="none" w:sz="0" w:space="0" w:color="auto"/>
        <w:left w:val="none" w:sz="0" w:space="0" w:color="auto"/>
        <w:bottom w:val="none" w:sz="0" w:space="0" w:color="auto"/>
        <w:right w:val="none" w:sz="0" w:space="0" w:color="auto"/>
      </w:divBdr>
    </w:div>
    <w:div w:id="1232888484">
      <w:bodyDiv w:val="1"/>
      <w:marLeft w:val="0"/>
      <w:marRight w:val="0"/>
      <w:marTop w:val="0"/>
      <w:marBottom w:val="0"/>
      <w:divBdr>
        <w:top w:val="none" w:sz="0" w:space="0" w:color="auto"/>
        <w:left w:val="none" w:sz="0" w:space="0" w:color="auto"/>
        <w:bottom w:val="none" w:sz="0" w:space="0" w:color="auto"/>
        <w:right w:val="none" w:sz="0" w:space="0" w:color="auto"/>
      </w:divBdr>
    </w:div>
    <w:div w:id="1411854370">
      <w:bodyDiv w:val="1"/>
      <w:marLeft w:val="0"/>
      <w:marRight w:val="0"/>
      <w:marTop w:val="0"/>
      <w:marBottom w:val="0"/>
      <w:divBdr>
        <w:top w:val="none" w:sz="0" w:space="0" w:color="auto"/>
        <w:left w:val="none" w:sz="0" w:space="0" w:color="auto"/>
        <w:bottom w:val="none" w:sz="0" w:space="0" w:color="auto"/>
        <w:right w:val="none" w:sz="0" w:space="0" w:color="auto"/>
      </w:divBdr>
    </w:div>
    <w:div w:id="163093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4" Type="http://schemas.openxmlformats.org/officeDocument/2006/relationships/footer" Target="footer1.xml"/><Relationship Id="rId9"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C826E8FC01349BE8AF9B6923EAC51" ma:contentTypeVersion="11" ma:contentTypeDescription="Create a new document." ma:contentTypeScope="" ma:versionID="64ff0548a7339fa0fe3f18757dd35b66">
  <xsd:schema xmlns:xsd="http://www.w3.org/2001/XMLSchema" xmlns:xs="http://www.w3.org/2001/XMLSchema" xmlns:p="http://schemas.microsoft.com/office/2006/metadata/properties" xmlns:ns2="52f53472-72d6-42af-993e-8eae5ea89d63" xmlns:ns3="6027d210-d013-4c48-adf9-3447dca712d5" targetNamespace="http://schemas.microsoft.com/office/2006/metadata/properties" ma:root="true" ma:fieldsID="d47890ec4cfbb0fc5ca51d4d3906dbed" ns2:_="" ns3:_="">
    <xsd:import namespace="52f53472-72d6-42af-993e-8eae5ea89d63"/>
    <xsd:import namespace="6027d210-d013-4c48-adf9-3447dca712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53472-72d6-42af-993e-8eae5ea89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27d210-d013-4c48-adf9-3447dca712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1173d878-a7f2-45cc-a3f5-d6ed21f7c1bc" ContentTypeId="0x010100A4F94509463A4443B66847FE0D2AEE25" PreviousValue="fals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AA8B08-602B-4E0D-891D-4BF79D5EC77D}"/>
</file>

<file path=customXml/itemProps2.xml><?xml version="1.0" encoding="utf-8"?>
<ds:datastoreItem xmlns:ds="http://schemas.openxmlformats.org/officeDocument/2006/customXml" ds:itemID="{7E5D1C63-FB0B-422F-9358-5B9AE37D51E2}">
  <ds:schemaRefs>
    <ds:schemaRef ds:uri="http://schemas.microsoft.com/sharepoint/v3/contenttype/forms"/>
  </ds:schemaRefs>
</ds:datastoreItem>
</file>

<file path=customXml/itemProps3.xml><?xml version="1.0" encoding="utf-8"?>
<ds:datastoreItem xmlns:ds="http://schemas.openxmlformats.org/officeDocument/2006/customXml" ds:itemID="{035A0998-CAFC-479C-A128-80CBC6310B8B}">
  <ds:schemaRefs>
    <ds:schemaRef ds:uri="http://schemas.microsoft.com/office/2006/metadata/longProperties"/>
  </ds:schemaRefs>
</ds:datastoreItem>
</file>

<file path=customXml/itemProps4.xml><?xml version="1.0" encoding="utf-8"?>
<ds:datastoreItem xmlns:ds="http://schemas.openxmlformats.org/officeDocument/2006/customXml" ds:itemID="{2478269F-FECD-4DD9-93A9-56E634CF3536}">
  <ds:schemaRefs>
    <ds:schemaRef ds:uri="Microsoft.SharePoint.Taxonomy.ContentTypeSync"/>
  </ds:schemaRefs>
</ds:datastoreItem>
</file>

<file path=customXml/itemProps5.xml><?xml version="1.0" encoding="utf-8"?>
<ds:datastoreItem xmlns:ds="http://schemas.openxmlformats.org/officeDocument/2006/customXml" ds:itemID="{C00B9EDD-4338-4019-9AB0-1CB5B697C98F}">
  <ds:schemaRefs>
    <ds:schemaRef ds:uri="http://schemas.openxmlformats.org/package/2006/metadata/core-properties"/>
    <ds:schemaRef ds:uri="http://schemas.microsoft.com/office/2006/documentManagement/types"/>
    <ds:schemaRef ds:uri="http://purl.org/dc/elements/1.1/"/>
    <ds:schemaRef ds:uri="http://purl.org/dc/terms/"/>
    <ds:schemaRef ds:uri="e887f2dc-4e4e-436f-8fc9-1ce5bbc2a867"/>
    <ds:schemaRef ds:uri="http://schemas.microsoft.com/office/infopath/2007/PartnerControls"/>
    <ds:schemaRef ds:uri="http://purl.org/dc/dcmitype/"/>
    <ds:schemaRef ds:uri="0b8a22d5-5f43-4d1a-a8c3-4165b374ecfc"/>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646EDFB6</Template>
  <TotalTime>0</TotalTime>
  <Pages>3</Pages>
  <Words>1173</Words>
  <Characters>6384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UK A4 portrait logo top template</vt:lpstr>
    </vt:vector>
  </TitlesOfParts>
  <Company>ING BARINGS</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A4 portrait logo top template</dc:title>
  <dc:creator>Kevin Miller</dc:creator>
  <cp:lastModifiedBy>Cosmas Woyo</cp:lastModifiedBy>
  <cp:revision>31</cp:revision>
  <cp:lastPrinted>2017-06-14T13:27:00Z</cp:lastPrinted>
  <dcterms:created xsi:type="dcterms:W3CDTF">2016-12-13T09:37:00Z</dcterms:created>
  <dcterms:modified xsi:type="dcterms:W3CDTF">2017-10-06T09:37:00Z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Document_x0020_Owner">
    <vt:lpwstr>Jon Labram</vt:lpwstr>
  </property>
  <property fmtid="{D5CDD505-2E9C-101B-9397-08002B2CF9AE}" pid="3" name="ContentTypeId">
    <vt:lpwstr>0x01010085AC826E8FC01349BE8AF9B6923EAC51</vt:lpwstr>
  </property>
</Properties>
</file>