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811" w:rsidRPr="00675627" w:rsidRDefault="00EA3BCB" w:rsidP="002E4327">
      <w:pPr>
        <w:pStyle w:val="Title"/>
        <w:rPr>
          <w:rFonts w:ascii="Verdana" w:hAnsi="Verdana"/>
          <w:b/>
        </w:rPr>
      </w:pPr>
      <w:r w:rsidRPr="00675627">
        <w:rPr>
          <w:rStyle w:val="Strong"/>
          <w:rFonts w:ascii="Verdana" w:hAnsi="Verdana"/>
        </w:rPr>
        <w:t>Finance Process overview</w:t>
      </w:r>
    </w:p>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2552"/>
        <w:gridCol w:w="6379"/>
      </w:tblGrid>
      <w:tr w:rsidR="00EA3BCB" w:rsidRPr="00675627" w:rsidTr="00217F72">
        <w:tc>
          <w:tcPr>
            <w:tcW w:w="2552"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675627" w:rsidRDefault="00EA3BCB" w:rsidP="00710F2A">
            <w:pPr>
              <w:rPr>
                <w:rFonts w:cs="Arial"/>
                <w:b/>
              </w:rPr>
            </w:pPr>
          </w:p>
        </w:tc>
        <w:tc>
          <w:tcPr>
            <w:tcW w:w="637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675627" w:rsidRDefault="00EA3BCB" w:rsidP="00D77F32">
            <w:pPr>
              <w:jc w:val="center"/>
              <w:rPr>
                <w:rFonts w:cs="Arial"/>
                <w:b/>
              </w:rPr>
            </w:pPr>
            <w:r w:rsidRPr="00675627">
              <w:rPr>
                <w:rFonts w:cs="Arial"/>
                <w:b/>
              </w:rPr>
              <w:t>Summary Details</w:t>
            </w:r>
          </w:p>
          <w:p w:rsidR="00EA3BCB" w:rsidRPr="00675627" w:rsidRDefault="00EA3BCB" w:rsidP="00710F2A">
            <w:pPr>
              <w:rPr>
                <w:rFonts w:cs="Arial"/>
                <w:b/>
              </w:rPr>
            </w:pPr>
          </w:p>
        </w:tc>
      </w:tr>
      <w:tr w:rsidR="00EA3BCB" w:rsidRPr="00675627" w:rsidTr="00217F72">
        <w:tc>
          <w:tcPr>
            <w:tcW w:w="2552" w:type="dxa"/>
            <w:tcBorders>
              <w:top w:val="single" w:sz="6" w:space="0" w:color="666666"/>
              <w:left w:val="single" w:sz="6" w:space="0" w:color="666666"/>
              <w:bottom w:val="nil"/>
              <w:right w:val="single" w:sz="6" w:space="0" w:color="666666"/>
              <w:tl2br w:val="nil"/>
              <w:tr2bl w:val="nil"/>
            </w:tcBorders>
            <w:shd w:val="clear" w:color="auto" w:fill="F2F2F2" w:themeFill="background1" w:themeFillShade="F2"/>
          </w:tcPr>
          <w:p w:rsidR="00EA3BCB" w:rsidRPr="00675627" w:rsidRDefault="00EA3BCB" w:rsidP="00710F2A">
            <w:pPr>
              <w:rPr>
                <w:rFonts w:cs="Arial"/>
                <w:b/>
              </w:rPr>
            </w:pPr>
            <w:r w:rsidRPr="00675627">
              <w:rPr>
                <w:rFonts w:cs="Arial"/>
                <w:b/>
              </w:rPr>
              <w:t>Process Name</w:t>
            </w:r>
          </w:p>
        </w:tc>
        <w:tc>
          <w:tcPr>
            <w:tcW w:w="6379" w:type="dxa"/>
            <w:shd w:val="clear" w:color="auto" w:fill="FFFFFF" w:themeFill="background1"/>
          </w:tcPr>
          <w:p w:rsidR="00EA3BCB" w:rsidRPr="00675627" w:rsidRDefault="00CB6178" w:rsidP="00710F2A">
            <w:pPr>
              <w:rPr>
                <w:rFonts w:cs="Arial"/>
                <w:b/>
                <w:szCs w:val="18"/>
              </w:rPr>
            </w:pPr>
            <w:r w:rsidRPr="00675627">
              <w:rPr>
                <w:rFonts w:cs="Arial"/>
                <w:b/>
                <w:szCs w:val="18"/>
              </w:rPr>
              <w:t>Claims</w:t>
            </w:r>
          </w:p>
        </w:tc>
      </w:tr>
      <w:tr w:rsidR="00403C6D" w:rsidRPr="00675627" w:rsidTr="00217F72">
        <w:tc>
          <w:tcPr>
            <w:tcW w:w="2552" w:type="dxa"/>
            <w:tcBorders>
              <w:left w:val="single" w:sz="6" w:space="0" w:color="666666"/>
              <w:right w:val="single" w:sz="6" w:space="0" w:color="666666"/>
              <w:tl2br w:val="nil"/>
              <w:tr2bl w:val="nil"/>
            </w:tcBorders>
            <w:shd w:val="clear" w:color="auto" w:fill="F2F2F2" w:themeFill="background1" w:themeFillShade="F2"/>
          </w:tcPr>
          <w:p w:rsidR="00403C6D" w:rsidRPr="00675627" w:rsidRDefault="00403C6D" w:rsidP="00710F2A">
            <w:pPr>
              <w:rPr>
                <w:rFonts w:cs="Arial"/>
                <w:b/>
              </w:rPr>
            </w:pPr>
            <w:r w:rsidRPr="00675627">
              <w:rPr>
                <w:rFonts w:cs="Arial"/>
                <w:b/>
              </w:rPr>
              <w:t>Process Owner</w:t>
            </w:r>
          </w:p>
        </w:tc>
        <w:tc>
          <w:tcPr>
            <w:tcW w:w="6379" w:type="dxa"/>
          </w:tcPr>
          <w:p w:rsidR="00403C6D" w:rsidRPr="00675627" w:rsidRDefault="0080429E" w:rsidP="00710630">
            <w:pPr>
              <w:rPr>
                <w:rFonts w:cs="Arial"/>
                <w:highlight w:val="yellow"/>
              </w:rPr>
            </w:pPr>
            <w:r w:rsidRPr="00675627">
              <w:rPr>
                <w:rFonts w:cs="Arial"/>
              </w:rPr>
              <w:t xml:space="preserve"> </w:t>
            </w:r>
            <w:r w:rsidR="00710630">
              <w:rPr>
                <w:rFonts w:cs="Arial"/>
              </w:rPr>
              <w:t>Stephen Kilbey</w:t>
            </w:r>
          </w:p>
        </w:tc>
      </w:tr>
      <w:tr w:rsidR="00EA3BCB" w:rsidRPr="00675627" w:rsidTr="00217F72">
        <w:tc>
          <w:tcPr>
            <w:tcW w:w="2552" w:type="dxa"/>
            <w:tcBorders>
              <w:left w:val="single" w:sz="6" w:space="0" w:color="666666"/>
              <w:right w:val="single" w:sz="6" w:space="0" w:color="666666"/>
              <w:tl2br w:val="nil"/>
              <w:tr2bl w:val="nil"/>
            </w:tcBorders>
            <w:shd w:val="clear" w:color="auto" w:fill="F2F2F2" w:themeFill="background1" w:themeFillShade="F2"/>
          </w:tcPr>
          <w:p w:rsidR="00EA3BCB" w:rsidRPr="00675627" w:rsidRDefault="00CA63E7" w:rsidP="00710F2A">
            <w:pPr>
              <w:rPr>
                <w:rFonts w:cs="Arial"/>
                <w:b/>
              </w:rPr>
            </w:pPr>
            <w:r w:rsidRPr="00675627">
              <w:rPr>
                <w:rFonts w:cs="Arial"/>
                <w:b/>
              </w:rPr>
              <w:t xml:space="preserve">Process  </w:t>
            </w:r>
            <w:r w:rsidR="00ED2689" w:rsidRPr="00675627">
              <w:rPr>
                <w:rFonts w:cs="Arial"/>
                <w:b/>
              </w:rPr>
              <w:t>Objective</w:t>
            </w:r>
          </w:p>
        </w:tc>
        <w:tc>
          <w:tcPr>
            <w:tcW w:w="6379" w:type="dxa"/>
          </w:tcPr>
          <w:p w:rsidR="00EA3BCB" w:rsidRPr="00675627" w:rsidRDefault="00CA63E7" w:rsidP="00CB6178">
            <w:pPr>
              <w:rPr>
                <w:rFonts w:cs="Arial"/>
              </w:rPr>
            </w:pPr>
            <w:r w:rsidRPr="00675627">
              <w:rPr>
                <w:rFonts w:cs="Arial"/>
              </w:rPr>
              <w:t xml:space="preserve">Ensure </w:t>
            </w:r>
            <w:r w:rsidR="00CB6178" w:rsidRPr="00675627">
              <w:rPr>
                <w:rFonts w:cs="Arial"/>
              </w:rPr>
              <w:t>claims</w:t>
            </w:r>
            <w:r w:rsidRPr="00675627">
              <w:rPr>
                <w:rFonts w:cs="Arial"/>
              </w:rPr>
              <w:t xml:space="preserve"> recorded in the ledger are accurate and complete.</w:t>
            </w:r>
          </w:p>
        </w:tc>
      </w:tr>
      <w:tr w:rsidR="00EA3BCB" w:rsidRPr="00675627" w:rsidTr="00217F72">
        <w:tc>
          <w:tcPr>
            <w:tcW w:w="2552" w:type="dxa"/>
            <w:tcBorders>
              <w:left w:val="single" w:sz="6" w:space="0" w:color="666666"/>
              <w:right w:val="single" w:sz="6" w:space="0" w:color="666666"/>
              <w:tl2br w:val="nil"/>
              <w:tr2bl w:val="nil"/>
            </w:tcBorders>
            <w:shd w:val="clear" w:color="auto" w:fill="F2F2F2" w:themeFill="background1" w:themeFillShade="F2"/>
          </w:tcPr>
          <w:p w:rsidR="00EA3BCB" w:rsidRPr="00675627" w:rsidRDefault="00403C6D" w:rsidP="00710F2A">
            <w:pPr>
              <w:rPr>
                <w:rFonts w:cs="Arial"/>
                <w:b/>
              </w:rPr>
            </w:pPr>
            <w:r w:rsidRPr="00675627">
              <w:rPr>
                <w:rFonts w:cs="Arial"/>
                <w:b/>
              </w:rPr>
              <w:t>Process Scope</w:t>
            </w:r>
          </w:p>
        </w:tc>
        <w:tc>
          <w:tcPr>
            <w:tcW w:w="6379" w:type="dxa"/>
          </w:tcPr>
          <w:p w:rsidR="008405A1" w:rsidRPr="00675627" w:rsidRDefault="00BF324F" w:rsidP="008405A1">
            <w:pPr>
              <w:jc w:val="both"/>
              <w:rPr>
                <w:rFonts w:cs="Arial"/>
              </w:rPr>
            </w:pPr>
            <w:r w:rsidRPr="00675627">
              <w:rPr>
                <w:rFonts w:cs="Arial"/>
              </w:rPr>
              <w:t xml:space="preserve">The process </w:t>
            </w:r>
            <w:r w:rsidR="00CB6178" w:rsidRPr="00675627">
              <w:rPr>
                <w:rFonts w:cs="Arial"/>
              </w:rPr>
              <w:t>covers</w:t>
            </w:r>
            <w:r w:rsidR="00C81FFC" w:rsidRPr="00675627">
              <w:rPr>
                <w:rFonts w:cs="Arial"/>
              </w:rPr>
              <w:t xml:space="preserve"> the following:</w:t>
            </w:r>
          </w:p>
          <w:p w:rsidR="008405A1" w:rsidRPr="00675627" w:rsidRDefault="008405A1" w:rsidP="003A2560">
            <w:pPr>
              <w:pStyle w:val="ListParagraph"/>
              <w:numPr>
                <w:ilvl w:val="0"/>
                <w:numId w:val="3"/>
              </w:numPr>
              <w:jc w:val="both"/>
              <w:rPr>
                <w:rFonts w:cs="Arial"/>
              </w:rPr>
            </w:pPr>
            <w:r w:rsidRPr="00675627">
              <w:rPr>
                <w:rFonts w:cs="Arial"/>
              </w:rPr>
              <w:t>Recording</w:t>
            </w:r>
            <w:r w:rsidR="00CB6178" w:rsidRPr="00675627">
              <w:rPr>
                <w:rFonts w:cs="Arial"/>
              </w:rPr>
              <w:t xml:space="preserve"> of claims in the ledger</w:t>
            </w:r>
            <w:r w:rsidR="00BF324F" w:rsidRPr="00675627">
              <w:rPr>
                <w:rFonts w:cs="Arial"/>
              </w:rPr>
              <w:t xml:space="preserve"> </w:t>
            </w:r>
            <w:r w:rsidR="007F36B3" w:rsidRPr="00675627">
              <w:rPr>
                <w:rFonts w:cs="Arial"/>
              </w:rPr>
              <w:t xml:space="preserve">including the import of </w:t>
            </w:r>
            <w:r w:rsidR="00F95811" w:rsidRPr="00675627">
              <w:rPr>
                <w:rFonts w:cs="Arial"/>
              </w:rPr>
              <w:t xml:space="preserve">data from </w:t>
            </w:r>
            <w:r w:rsidR="00402794" w:rsidRPr="00675627">
              <w:rPr>
                <w:rFonts w:cs="Arial"/>
              </w:rPr>
              <w:t>source systems/files into FDM.</w:t>
            </w:r>
          </w:p>
          <w:p w:rsidR="008405A1" w:rsidRPr="00675627" w:rsidRDefault="008405A1" w:rsidP="003A2560">
            <w:pPr>
              <w:pStyle w:val="ListParagraph"/>
              <w:numPr>
                <w:ilvl w:val="0"/>
                <w:numId w:val="3"/>
              </w:numPr>
              <w:jc w:val="both"/>
              <w:rPr>
                <w:rFonts w:cs="Arial"/>
              </w:rPr>
            </w:pPr>
            <w:r w:rsidRPr="00675627">
              <w:rPr>
                <w:rFonts w:cs="Arial"/>
              </w:rPr>
              <w:t>Calculations</w:t>
            </w:r>
            <w:r w:rsidR="007F36B3" w:rsidRPr="00675627">
              <w:rPr>
                <w:rFonts w:cs="Arial"/>
              </w:rPr>
              <w:t xml:space="preserve"> of outstanding claims, claims handling reserve and ceded RI bad debt provision within</w:t>
            </w:r>
            <w:r w:rsidR="00F95811" w:rsidRPr="00675627">
              <w:rPr>
                <w:rFonts w:cs="Arial"/>
              </w:rPr>
              <w:t xml:space="preserve"> FDM and posting of</w:t>
            </w:r>
            <w:r w:rsidR="007F36B3" w:rsidRPr="00675627">
              <w:rPr>
                <w:rFonts w:cs="Arial"/>
              </w:rPr>
              <w:t xml:space="preserve"> resulting claims </w:t>
            </w:r>
            <w:r w:rsidRPr="00675627">
              <w:rPr>
                <w:rFonts w:cs="Arial"/>
              </w:rPr>
              <w:t>related adjustments</w:t>
            </w:r>
            <w:r w:rsidR="00F95811" w:rsidRPr="00675627">
              <w:rPr>
                <w:rFonts w:cs="Arial"/>
              </w:rPr>
              <w:t xml:space="preserve"> from FDM to</w:t>
            </w:r>
            <w:r w:rsidR="007F36B3" w:rsidRPr="00675627">
              <w:rPr>
                <w:rFonts w:cs="Arial"/>
              </w:rPr>
              <w:t xml:space="preserve"> the ledger</w:t>
            </w:r>
            <w:r w:rsidR="00F95811" w:rsidRPr="00675627">
              <w:rPr>
                <w:rFonts w:cs="Arial"/>
              </w:rPr>
              <w:t>.</w:t>
            </w:r>
          </w:p>
          <w:p w:rsidR="008405A1" w:rsidRPr="00675627" w:rsidRDefault="008405A1" w:rsidP="003A2560">
            <w:pPr>
              <w:pStyle w:val="ListParagraph"/>
              <w:numPr>
                <w:ilvl w:val="0"/>
                <w:numId w:val="3"/>
              </w:numPr>
              <w:jc w:val="both"/>
              <w:rPr>
                <w:rFonts w:cs="Arial"/>
              </w:rPr>
            </w:pPr>
            <w:r w:rsidRPr="00675627">
              <w:rPr>
                <w:rFonts w:cs="Arial"/>
              </w:rPr>
              <w:t>S</w:t>
            </w:r>
            <w:r w:rsidR="00402794" w:rsidRPr="00675627">
              <w:rPr>
                <w:rFonts w:cs="Arial"/>
              </w:rPr>
              <w:t xml:space="preserve">ettlement of </w:t>
            </w:r>
            <w:r w:rsidR="007F36B3" w:rsidRPr="00675627">
              <w:rPr>
                <w:rFonts w:cs="Arial"/>
              </w:rPr>
              <w:t>approved claims and the posting of claims settlement adjustments to the ledger.</w:t>
            </w:r>
          </w:p>
          <w:p w:rsidR="008405A1" w:rsidRPr="00675627" w:rsidRDefault="00C81FFC" w:rsidP="008405A1">
            <w:pPr>
              <w:jc w:val="both"/>
              <w:rPr>
                <w:rFonts w:cs="Arial"/>
              </w:rPr>
            </w:pPr>
            <w:r w:rsidRPr="00675627">
              <w:rPr>
                <w:rFonts w:cs="Arial"/>
              </w:rPr>
              <w:t>The following is excluded:</w:t>
            </w:r>
          </w:p>
          <w:p w:rsidR="00C81FFC" w:rsidRPr="00675627" w:rsidRDefault="00A95621" w:rsidP="003A2560">
            <w:pPr>
              <w:pStyle w:val="ListParagraph"/>
              <w:numPr>
                <w:ilvl w:val="0"/>
                <w:numId w:val="4"/>
              </w:numPr>
              <w:jc w:val="both"/>
              <w:rPr>
                <w:rFonts w:cs="Arial"/>
              </w:rPr>
            </w:pPr>
            <w:r w:rsidRPr="00675627">
              <w:rPr>
                <w:rFonts w:cs="Arial"/>
              </w:rPr>
              <w:t xml:space="preserve">RITC claims </w:t>
            </w:r>
            <w:r w:rsidR="007F36B3" w:rsidRPr="00675627">
              <w:rPr>
                <w:rFonts w:cs="Arial"/>
              </w:rPr>
              <w:t>covered separately under the RITC process (cycle 7)</w:t>
            </w:r>
            <w:r w:rsidR="001E644C" w:rsidRPr="00675627">
              <w:rPr>
                <w:rFonts w:cs="Arial"/>
              </w:rPr>
              <w:t>.</w:t>
            </w:r>
          </w:p>
          <w:p w:rsidR="00C81FFC" w:rsidRPr="00675627" w:rsidRDefault="00C81FFC" w:rsidP="003A2560">
            <w:pPr>
              <w:pStyle w:val="ListParagraph"/>
              <w:numPr>
                <w:ilvl w:val="0"/>
                <w:numId w:val="4"/>
              </w:numPr>
              <w:jc w:val="both"/>
              <w:rPr>
                <w:rFonts w:cs="Arial"/>
              </w:rPr>
            </w:pPr>
            <w:r w:rsidRPr="00675627">
              <w:rPr>
                <w:rFonts w:cs="Arial"/>
              </w:rPr>
              <w:t>C</w:t>
            </w:r>
            <w:r w:rsidR="008405A1" w:rsidRPr="00675627">
              <w:rPr>
                <w:rFonts w:cs="Arial"/>
              </w:rPr>
              <w:t xml:space="preserve">laims approval </w:t>
            </w:r>
            <w:r w:rsidRPr="00675627">
              <w:rPr>
                <w:rFonts w:cs="Arial"/>
              </w:rPr>
              <w:t xml:space="preserve">for settlement </w:t>
            </w:r>
            <w:r w:rsidR="008405A1" w:rsidRPr="00675627">
              <w:rPr>
                <w:rFonts w:cs="Arial"/>
              </w:rPr>
              <w:t>as this is done outside of Finance</w:t>
            </w:r>
            <w:r w:rsidR="00F95811" w:rsidRPr="00675627">
              <w:rPr>
                <w:rFonts w:cs="Arial"/>
              </w:rPr>
              <w:t>.</w:t>
            </w:r>
            <w:r w:rsidR="000C1A29" w:rsidRPr="00675627">
              <w:rPr>
                <w:rFonts w:cs="Arial"/>
              </w:rPr>
              <w:t xml:space="preserve"> </w:t>
            </w:r>
          </w:p>
          <w:p w:rsidR="003B26F4" w:rsidRPr="00675627" w:rsidRDefault="00C81FFC" w:rsidP="003A2560">
            <w:pPr>
              <w:pStyle w:val="ListParagraph"/>
              <w:numPr>
                <w:ilvl w:val="0"/>
                <w:numId w:val="4"/>
              </w:numPr>
              <w:jc w:val="both"/>
              <w:rPr>
                <w:rFonts w:cs="Arial"/>
              </w:rPr>
            </w:pPr>
            <w:r w:rsidRPr="00675627">
              <w:rPr>
                <w:rFonts w:cs="Arial"/>
              </w:rPr>
              <w:t>C</w:t>
            </w:r>
            <w:r w:rsidR="008405A1" w:rsidRPr="00675627">
              <w:rPr>
                <w:rFonts w:cs="Arial"/>
              </w:rPr>
              <w:t>laims transactions matching which is will be covered separately.</w:t>
            </w:r>
          </w:p>
        </w:tc>
      </w:tr>
    </w:tbl>
    <w:p w:rsidR="00CA63E7" w:rsidRPr="00675627" w:rsidRDefault="00CA63E7" w:rsidP="00E707D7">
      <w:pPr>
        <w:pStyle w:val="IntroductionSmall"/>
        <w:rPr>
          <w:rFonts w:ascii="Verdana" w:hAnsi="Verdana" w:cs="Arial"/>
        </w:rPr>
      </w:pPr>
    </w:p>
    <w:p w:rsidR="00E707D7" w:rsidRPr="00675627" w:rsidRDefault="00ED2689" w:rsidP="00E707D7">
      <w:pPr>
        <w:pStyle w:val="IntroductionSmall"/>
        <w:rPr>
          <w:rFonts w:ascii="Verdana" w:hAnsi="Verdana" w:cs="Arial"/>
          <w:b/>
        </w:rPr>
      </w:pPr>
      <w:r w:rsidRPr="00675627">
        <w:rPr>
          <w:rFonts w:ascii="Verdana" w:hAnsi="Verdana" w:cs="Arial"/>
          <w:b/>
        </w:rPr>
        <w:t>Summary of Findings and Recommendations</w:t>
      </w:r>
    </w:p>
    <w:p w:rsidR="00E707D7" w:rsidRPr="00675627" w:rsidRDefault="00E707D7" w:rsidP="00E707D7">
      <w:pPr>
        <w:rPr>
          <w:rFonts w:cs="Arial"/>
        </w:rPr>
      </w:pPr>
      <w:r w:rsidRPr="00675627">
        <w:rPr>
          <w:rFonts w:cs="Arial"/>
        </w:rPr>
        <w:t>Below is a list of findings or recommendations identified</w:t>
      </w:r>
      <w:r w:rsidR="00CA63E7" w:rsidRPr="00675627">
        <w:rPr>
          <w:rFonts w:cs="Arial"/>
        </w:rPr>
        <w:t xml:space="preserve"> in the </w:t>
      </w:r>
      <w:r w:rsidR="00A95621" w:rsidRPr="00675627">
        <w:rPr>
          <w:rFonts w:cs="Arial"/>
        </w:rPr>
        <w:t>claims</w:t>
      </w:r>
      <w:r w:rsidR="00CA63E7" w:rsidRPr="00675627">
        <w:rPr>
          <w:rFonts w:cs="Arial"/>
        </w:rPr>
        <w:t xml:space="preserve"> process:</w:t>
      </w:r>
    </w:p>
    <w:p w:rsidR="00CA63E7" w:rsidRPr="00675627" w:rsidRDefault="00CA63E7" w:rsidP="00E707D7">
      <w:pPr>
        <w:rPr>
          <w:rFonts w:cs="Arial"/>
        </w:rPr>
      </w:pPr>
    </w:p>
    <w:tbl>
      <w:tblPr>
        <w:tblW w:w="8910"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5954"/>
        <w:gridCol w:w="2247"/>
      </w:tblGrid>
      <w:tr w:rsidR="00E707D7" w:rsidRPr="00675627" w:rsidTr="00B30FD4">
        <w:trPr>
          <w:trHeight w:val="640"/>
          <w:tblHeader/>
        </w:trPr>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675627" w:rsidRDefault="00E707D7" w:rsidP="00ED2689">
            <w:pPr>
              <w:rPr>
                <w:rFonts w:cs="Arial"/>
                <w:b/>
              </w:rPr>
            </w:pPr>
          </w:p>
        </w:tc>
        <w:tc>
          <w:tcPr>
            <w:tcW w:w="595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675627" w:rsidRDefault="00E707D7" w:rsidP="00D77F32">
            <w:pPr>
              <w:jc w:val="center"/>
              <w:rPr>
                <w:rFonts w:cs="Arial"/>
                <w:b/>
              </w:rPr>
            </w:pPr>
            <w:r w:rsidRPr="00675627">
              <w:rPr>
                <w:rFonts w:cs="Arial"/>
                <w:b/>
              </w:rPr>
              <w:t>Summary Details</w:t>
            </w:r>
          </w:p>
          <w:p w:rsidR="00E707D7" w:rsidRPr="00675627" w:rsidRDefault="00E707D7" w:rsidP="00D77F32">
            <w:pPr>
              <w:jc w:val="center"/>
              <w:rPr>
                <w:rFonts w:cs="Arial"/>
                <w:b/>
              </w:rPr>
            </w:pPr>
          </w:p>
        </w:tc>
        <w:tc>
          <w:tcPr>
            <w:tcW w:w="224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D77F32" w:rsidRPr="00675627" w:rsidRDefault="00D77F32" w:rsidP="00D77F32">
            <w:pPr>
              <w:jc w:val="center"/>
              <w:rPr>
                <w:rFonts w:cs="Arial"/>
                <w:b/>
              </w:rPr>
            </w:pPr>
            <w:r w:rsidRPr="00675627">
              <w:rPr>
                <w:rFonts w:cs="Arial"/>
                <w:b/>
              </w:rPr>
              <w:t>Classification</w:t>
            </w:r>
          </w:p>
          <w:p w:rsidR="00E707D7" w:rsidRPr="00675627" w:rsidRDefault="00D77F32" w:rsidP="00D77F32">
            <w:pPr>
              <w:jc w:val="center"/>
              <w:rPr>
                <w:rFonts w:cs="Arial"/>
                <w:i/>
              </w:rPr>
            </w:pPr>
            <w:r w:rsidRPr="00675627">
              <w:rPr>
                <w:rFonts w:cs="Arial"/>
                <w:i/>
              </w:rPr>
              <w:t>(</w:t>
            </w:r>
            <w:r w:rsidR="00E707D7" w:rsidRPr="00675627">
              <w:rPr>
                <w:rFonts w:cs="Arial"/>
                <w:i/>
              </w:rPr>
              <w:t>design gap, control gap, process improvement)</w:t>
            </w:r>
          </w:p>
        </w:tc>
      </w:tr>
      <w:tr w:rsidR="00E707D7" w:rsidRPr="00675627"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675627" w:rsidRDefault="00A95621" w:rsidP="00ED2689">
            <w:pPr>
              <w:rPr>
                <w:rFonts w:cs="Arial"/>
              </w:rPr>
            </w:pPr>
            <w:r w:rsidRPr="00675627">
              <w:rPr>
                <w:rFonts w:cs="Arial"/>
              </w:rPr>
              <w:t>1</w:t>
            </w:r>
          </w:p>
        </w:tc>
        <w:tc>
          <w:tcPr>
            <w:tcW w:w="5954" w:type="dxa"/>
          </w:tcPr>
          <w:p w:rsidR="00E707D7" w:rsidRPr="00675627" w:rsidRDefault="00A95621" w:rsidP="00ED2689">
            <w:pPr>
              <w:rPr>
                <w:rFonts w:cs="Arial"/>
                <w:highlight w:val="yellow"/>
              </w:rPr>
            </w:pPr>
            <w:r w:rsidRPr="00675627">
              <w:rPr>
                <w:rFonts w:cs="Arial"/>
              </w:rPr>
              <w:t>Claims</w:t>
            </w:r>
            <w:r w:rsidR="00CE3910" w:rsidRPr="00675627">
              <w:rPr>
                <w:rFonts w:cs="Arial"/>
              </w:rPr>
              <w:t xml:space="preserve"> data load from source systems/input files to FDM is significantly manual via the FDM control sheet and prone to h</w:t>
            </w:r>
            <w:r w:rsidR="001060CC" w:rsidRPr="00675627">
              <w:rPr>
                <w:rFonts w:cs="Arial"/>
              </w:rPr>
              <w:t>uman error</w:t>
            </w:r>
            <w:r w:rsidR="00CE3910" w:rsidRPr="00675627">
              <w:rPr>
                <w:rFonts w:cs="Arial"/>
              </w:rPr>
              <w:t>. Finance should consider making this process automated.</w:t>
            </w:r>
          </w:p>
        </w:tc>
        <w:tc>
          <w:tcPr>
            <w:tcW w:w="2247" w:type="dxa"/>
          </w:tcPr>
          <w:p w:rsidR="00E707D7" w:rsidRPr="00675627" w:rsidRDefault="00CE3910" w:rsidP="00ED2689">
            <w:pPr>
              <w:rPr>
                <w:rFonts w:cs="Arial"/>
              </w:rPr>
            </w:pPr>
            <w:r w:rsidRPr="00675627">
              <w:rPr>
                <w:rFonts w:cs="Arial"/>
              </w:rPr>
              <w:t>process improvement</w:t>
            </w:r>
          </w:p>
        </w:tc>
      </w:tr>
      <w:tr w:rsidR="00E707D7" w:rsidRPr="00675627"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675627" w:rsidRDefault="00A95621" w:rsidP="00ED2689">
            <w:pPr>
              <w:rPr>
                <w:rFonts w:cs="Arial"/>
              </w:rPr>
            </w:pPr>
            <w:r w:rsidRPr="00675627">
              <w:rPr>
                <w:rFonts w:cs="Arial"/>
              </w:rPr>
              <w:t>2</w:t>
            </w:r>
          </w:p>
        </w:tc>
        <w:tc>
          <w:tcPr>
            <w:tcW w:w="5954" w:type="dxa"/>
          </w:tcPr>
          <w:p w:rsidR="005E25B5" w:rsidRPr="00675627" w:rsidRDefault="00CE3910" w:rsidP="005E25B5">
            <w:pPr>
              <w:rPr>
                <w:rFonts w:cs="Arial"/>
              </w:rPr>
            </w:pPr>
            <w:r w:rsidRPr="00675627">
              <w:rPr>
                <w:rFonts w:cs="Arial"/>
              </w:rPr>
              <w:t xml:space="preserve">The posting of </w:t>
            </w:r>
            <w:r w:rsidR="001E644C" w:rsidRPr="00675627">
              <w:rPr>
                <w:rFonts w:cs="Arial"/>
              </w:rPr>
              <w:t xml:space="preserve">the following </w:t>
            </w:r>
            <w:r w:rsidR="00A95621" w:rsidRPr="00675627">
              <w:rPr>
                <w:rFonts w:cs="Arial"/>
              </w:rPr>
              <w:t>claims</w:t>
            </w:r>
            <w:r w:rsidRPr="00675627">
              <w:rPr>
                <w:rFonts w:cs="Arial"/>
              </w:rPr>
              <w:t xml:space="preserve"> journals is significantly and prone to human errors. </w:t>
            </w:r>
          </w:p>
          <w:p w:rsidR="005E25B5" w:rsidRPr="00675627" w:rsidRDefault="001E644C" w:rsidP="003A2560">
            <w:pPr>
              <w:pStyle w:val="ListParagraph"/>
              <w:numPr>
                <w:ilvl w:val="0"/>
                <w:numId w:val="5"/>
              </w:numPr>
              <w:rPr>
                <w:rFonts w:cs="Arial"/>
              </w:rPr>
            </w:pPr>
            <w:r w:rsidRPr="00675627">
              <w:rPr>
                <w:rFonts w:cs="Arial"/>
              </w:rPr>
              <w:t>Outstanding claims, claims handling reserve and ceded RI bad debt provision from FDM to the ledger.</w:t>
            </w:r>
          </w:p>
          <w:p w:rsidR="001E644C" w:rsidRPr="00675627" w:rsidRDefault="005E25B5" w:rsidP="003A2560">
            <w:pPr>
              <w:pStyle w:val="ListParagraph"/>
              <w:numPr>
                <w:ilvl w:val="0"/>
                <w:numId w:val="5"/>
              </w:numPr>
              <w:rPr>
                <w:rFonts w:cs="Arial"/>
              </w:rPr>
            </w:pPr>
            <w:r w:rsidRPr="00675627">
              <w:rPr>
                <w:rFonts w:cs="Arial"/>
              </w:rPr>
              <w:t>Claims settlement journals</w:t>
            </w:r>
            <w:r w:rsidR="001E644C" w:rsidRPr="00675627">
              <w:rPr>
                <w:rFonts w:cs="Arial"/>
              </w:rPr>
              <w:t>.</w:t>
            </w:r>
          </w:p>
          <w:p w:rsidR="005E25B5" w:rsidRPr="00675627" w:rsidRDefault="005E25B5" w:rsidP="005E25B5">
            <w:pPr>
              <w:rPr>
                <w:rFonts w:cs="Arial"/>
              </w:rPr>
            </w:pPr>
            <w:r w:rsidRPr="00675627">
              <w:rPr>
                <w:rFonts w:cs="Arial"/>
              </w:rPr>
              <w:t>Finance should consider making this process automated.</w:t>
            </w:r>
          </w:p>
          <w:p w:rsidR="005E25B5" w:rsidRPr="00675627" w:rsidRDefault="005E25B5" w:rsidP="005E25B5">
            <w:pPr>
              <w:rPr>
                <w:rFonts w:cs="Arial"/>
              </w:rPr>
            </w:pPr>
          </w:p>
        </w:tc>
        <w:tc>
          <w:tcPr>
            <w:tcW w:w="2247" w:type="dxa"/>
          </w:tcPr>
          <w:p w:rsidR="00E707D7" w:rsidRPr="00675627" w:rsidRDefault="00CE3910" w:rsidP="00ED2689">
            <w:pPr>
              <w:rPr>
                <w:rFonts w:cs="Arial"/>
              </w:rPr>
            </w:pPr>
            <w:r w:rsidRPr="00675627">
              <w:rPr>
                <w:rFonts w:cs="Arial"/>
              </w:rPr>
              <w:t>process improvement</w:t>
            </w:r>
          </w:p>
        </w:tc>
      </w:tr>
      <w:tr w:rsidR="00E707D7" w:rsidRPr="00675627"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E707D7" w:rsidRPr="00675627" w:rsidRDefault="005E25B5" w:rsidP="00ED2689">
            <w:pPr>
              <w:rPr>
                <w:rFonts w:cs="Arial"/>
              </w:rPr>
            </w:pPr>
            <w:r w:rsidRPr="00675627">
              <w:rPr>
                <w:rFonts w:cs="Arial"/>
              </w:rPr>
              <w:t>3</w:t>
            </w:r>
          </w:p>
        </w:tc>
        <w:tc>
          <w:tcPr>
            <w:tcW w:w="5954" w:type="dxa"/>
          </w:tcPr>
          <w:p w:rsidR="00E707D7" w:rsidRPr="00675627" w:rsidRDefault="002E4327" w:rsidP="00ED2689">
            <w:pPr>
              <w:jc w:val="both"/>
              <w:rPr>
                <w:rFonts w:cs="Arial"/>
              </w:rPr>
            </w:pPr>
            <w:r w:rsidRPr="00675627">
              <w:rPr>
                <w:rFonts w:cs="Arial"/>
              </w:rPr>
              <w:t>There are a number of</w:t>
            </w:r>
            <w:r w:rsidR="00F95811" w:rsidRPr="00675627">
              <w:rPr>
                <w:rFonts w:cs="Arial"/>
              </w:rPr>
              <w:t xml:space="preserve"> data</w:t>
            </w:r>
            <w:r w:rsidRPr="00675627">
              <w:rPr>
                <w:rFonts w:cs="Arial"/>
              </w:rPr>
              <w:t xml:space="preserve"> reconciliations which are manually performed by Finance in the </w:t>
            </w:r>
            <w:r w:rsidR="00A95621" w:rsidRPr="00675627">
              <w:rPr>
                <w:rFonts w:cs="Arial"/>
              </w:rPr>
              <w:t>claims</w:t>
            </w:r>
            <w:r w:rsidRPr="00675627">
              <w:rPr>
                <w:rFonts w:cs="Arial"/>
              </w:rPr>
              <w:t xml:space="preserve"> process as shown below. </w:t>
            </w:r>
          </w:p>
          <w:p w:rsidR="004D4611" w:rsidRPr="00675627" w:rsidRDefault="002E4327" w:rsidP="003A2560">
            <w:pPr>
              <w:pStyle w:val="ListParagraph"/>
              <w:numPr>
                <w:ilvl w:val="0"/>
                <w:numId w:val="6"/>
              </w:numPr>
              <w:rPr>
                <w:rFonts w:cs="Arial"/>
              </w:rPr>
            </w:pPr>
            <w:r w:rsidRPr="00675627">
              <w:rPr>
                <w:rFonts w:cs="Arial"/>
              </w:rPr>
              <w:t>Reconciliation</w:t>
            </w:r>
            <w:r w:rsidR="004D4611" w:rsidRPr="00675627">
              <w:rPr>
                <w:rFonts w:cs="Arial"/>
              </w:rPr>
              <w:t xml:space="preserve"> </w:t>
            </w:r>
            <w:r w:rsidRPr="00675627">
              <w:rPr>
                <w:rFonts w:cs="Arial"/>
              </w:rPr>
              <w:t>of FDM to Wizi</w:t>
            </w:r>
          </w:p>
          <w:p w:rsidR="002E4327" w:rsidRPr="00675627" w:rsidRDefault="002E4327" w:rsidP="003A2560">
            <w:pPr>
              <w:pStyle w:val="ListParagraph"/>
              <w:numPr>
                <w:ilvl w:val="0"/>
                <w:numId w:val="6"/>
              </w:numPr>
              <w:rPr>
                <w:rFonts w:cs="Arial"/>
              </w:rPr>
            </w:pPr>
            <w:r w:rsidRPr="00675627">
              <w:rPr>
                <w:rFonts w:cs="Arial"/>
              </w:rPr>
              <w:t>Reconciliation of FDM to Agresso</w:t>
            </w:r>
          </w:p>
          <w:p w:rsidR="004D4611" w:rsidRPr="00675627" w:rsidRDefault="004D4611" w:rsidP="003A2560">
            <w:pPr>
              <w:pStyle w:val="ListParagraph"/>
              <w:numPr>
                <w:ilvl w:val="0"/>
                <w:numId w:val="6"/>
              </w:numPr>
              <w:rPr>
                <w:rFonts w:cs="Arial"/>
              </w:rPr>
            </w:pPr>
            <w:r w:rsidRPr="00675627">
              <w:rPr>
                <w:rFonts w:cs="Arial"/>
              </w:rPr>
              <w:t xml:space="preserve">Daily claims settlement reports from </w:t>
            </w:r>
            <w:proofErr w:type="spellStart"/>
            <w:r w:rsidRPr="00675627">
              <w:rPr>
                <w:rFonts w:cs="Arial"/>
              </w:rPr>
              <w:t>Xchanging</w:t>
            </w:r>
            <w:proofErr w:type="spellEnd"/>
          </w:p>
          <w:p w:rsidR="004D4611" w:rsidRPr="00675627" w:rsidRDefault="004D4611" w:rsidP="003A2560">
            <w:pPr>
              <w:pStyle w:val="ListParagraph"/>
              <w:numPr>
                <w:ilvl w:val="0"/>
                <w:numId w:val="6"/>
              </w:numPr>
              <w:rPr>
                <w:rFonts w:cs="Arial"/>
              </w:rPr>
            </w:pPr>
            <w:r w:rsidRPr="00675627">
              <w:rPr>
                <w:rFonts w:cs="Arial"/>
              </w:rPr>
              <w:t>LCO reconciliation</w:t>
            </w:r>
          </w:p>
          <w:p w:rsidR="002E4327" w:rsidRPr="00675627" w:rsidRDefault="002E4327" w:rsidP="004D4611">
            <w:pPr>
              <w:rPr>
                <w:rFonts w:cs="Arial"/>
              </w:rPr>
            </w:pPr>
            <w:r w:rsidRPr="00675627">
              <w:rPr>
                <w:rFonts w:cs="Arial"/>
              </w:rPr>
              <w:t>Manual reconci</w:t>
            </w:r>
            <w:r w:rsidR="004D4611" w:rsidRPr="00675627">
              <w:rPr>
                <w:rFonts w:cs="Arial"/>
              </w:rPr>
              <w:t xml:space="preserve">liations </w:t>
            </w:r>
            <w:r w:rsidR="00875B4D" w:rsidRPr="00675627">
              <w:rPr>
                <w:rFonts w:cs="Arial"/>
              </w:rPr>
              <w:t xml:space="preserve">may be time consuming. </w:t>
            </w:r>
            <w:r w:rsidRPr="00675627">
              <w:rPr>
                <w:rFonts w:cs="Arial"/>
              </w:rPr>
              <w:t>Consider automating the system reconciliations. Finance would review the reconciliations and address reconciliation issues.</w:t>
            </w:r>
          </w:p>
        </w:tc>
        <w:tc>
          <w:tcPr>
            <w:tcW w:w="2247" w:type="dxa"/>
          </w:tcPr>
          <w:p w:rsidR="00E707D7" w:rsidRPr="00675627" w:rsidRDefault="002E4327" w:rsidP="00ED2689">
            <w:pPr>
              <w:jc w:val="both"/>
              <w:rPr>
                <w:rFonts w:cs="Arial"/>
                <w:i/>
              </w:rPr>
            </w:pPr>
            <w:r w:rsidRPr="00675627">
              <w:rPr>
                <w:rFonts w:cs="Arial"/>
              </w:rPr>
              <w:t>process improvement</w:t>
            </w:r>
          </w:p>
        </w:tc>
      </w:tr>
      <w:tr w:rsidR="00874DC8" w:rsidRPr="00675627"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874DC8" w:rsidRPr="00675627" w:rsidRDefault="00874DC8" w:rsidP="00ED2689">
            <w:pPr>
              <w:rPr>
                <w:rFonts w:cs="Arial"/>
              </w:rPr>
            </w:pPr>
            <w:r w:rsidRPr="00675627">
              <w:rPr>
                <w:rFonts w:cs="Arial"/>
              </w:rPr>
              <w:lastRenderedPageBreak/>
              <w:t>4</w:t>
            </w:r>
          </w:p>
        </w:tc>
        <w:tc>
          <w:tcPr>
            <w:tcW w:w="5954" w:type="dxa"/>
          </w:tcPr>
          <w:p w:rsidR="00874DC8" w:rsidRPr="00675627" w:rsidRDefault="00874DC8" w:rsidP="00874DC8">
            <w:pPr>
              <w:jc w:val="both"/>
              <w:rPr>
                <w:rFonts w:cs="Arial"/>
              </w:rPr>
            </w:pPr>
            <w:r w:rsidRPr="00675627">
              <w:rPr>
                <w:rFonts w:cs="Arial"/>
              </w:rPr>
              <w:t>There are no system controls available to prevent duplicate vendor account set up in Agresso.  A manual check is required to confirm the vendor account is not already set up before completing a new request. Although the setting up of  new vendors  accounts is set to move from Finance to Claims teams and Finance will be excluded from the process , this control recommendation would  still valid.</w:t>
            </w:r>
          </w:p>
        </w:tc>
        <w:tc>
          <w:tcPr>
            <w:tcW w:w="2247" w:type="dxa"/>
          </w:tcPr>
          <w:p w:rsidR="00874DC8" w:rsidRPr="00675627" w:rsidRDefault="00402794" w:rsidP="00ED2689">
            <w:pPr>
              <w:jc w:val="both"/>
              <w:rPr>
                <w:rFonts w:cs="Arial"/>
              </w:rPr>
            </w:pPr>
            <w:r w:rsidRPr="00675627">
              <w:rPr>
                <w:rFonts w:cs="Arial"/>
              </w:rPr>
              <w:t>p</w:t>
            </w:r>
            <w:r w:rsidR="00874DC8" w:rsidRPr="00675627">
              <w:rPr>
                <w:rFonts w:cs="Arial"/>
              </w:rPr>
              <w:t>rocess improvement</w:t>
            </w:r>
          </w:p>
        </w:tc>
      </w:tr>
      <w:tr w:rsidR="00874DC8" w:rsidRPr="00675627"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874DC8" w:rsidRPr="00675627" w:rsidRDefault="00874DC8" w:rsidP="00ED2689">
            <w:pPr>
              <w:rPr>
                <w:rFonts w:cs="Arial"/>
              </w:rPr>
            </w:pPr>
            <w:r w:rsidRPr="00675627">
              <w:rPr>
                <w:rFonts w:cs="Arial"/>
              </w:rPr>
              <w:t>5</w:t>
            </w:r>
          </w:p>
        </w:tc>
        <w:tc>
          <w:tcPr>
            <w:tcW w:w="5954" w:type="dxa"/>
          </w:tcPr>
          <w:p w:rsidR="00874DC8" w:rsidRPr="00675627" w:rsidRDefault="00EA64A1" w:rsidP="00874DC8">
            <w:pPr>
              <w:jc w:val="both"/>
              <w:rPr>
                <w:rFonts w:cs="Arial"/>
              </w:rPr>
            </w:pPr>
            <w:r>
              <w:rPr>
                <w:rFonts w:cs="Arial"/>
              </w:rPr>
              <w:t xml:space="preserve">Changes to vendor account </w:t>
            </w:r>
            <w:proofErr w:type="spellStart"/>
            <w:r>
              <w:rPr>
                <w:rFonts w:cs="Arial"/>
              </w:rPr>
              <w:t>m</w:t>
            </w:r>
            <w:r w:rsidR="00C66788" w:rsidRPr="00675627">
              <w:rPr>
                <w:rFonts w:cs="Arial"/>
              </w:rPr>
              <w:t>asterfile</w:t>
            </w:r>
            <w:proofErr w:type="spellEnd"/>
            <w:r w:rsidR="00C66788" w:rsidRPr="00675627">
              <w:rPr>
                <w:rFonts w:cs="Arial"/>
              </w:rPr>
              <w:t xml:space="preserve"> (addition of new vendors and changes to existing vendors) are reviewed on a sample basis every quarter. </w:t>
            </w:r>
          </w:p>
          <w:p w:rsidR="00C66788" w:rsidRPr="00675627" w:rsidRDefault="00C66788" w:rsidP="00874DC8">
            <w:pPr>
              <w:jc w:val="both"/>
              <w:rPr>
                <w:rFonts w:cs="Arial"/>
              </w:rPr>
            </w:pPr>
          </w:p>
          <w:p w:rsidR="00C66788" w:rsidRPr="00675627" w:rsidRDefault="00C66788" w:rsidP="00874DC8">
            <w:pPr>
              <w:jc w:val="both"/>
              <w:rPr>
                <w:rFonts w:cs="Arial"/>
              </w:rPr>
            </w:pPr>
            <w:r w:rsidRPr="00675627">
              <w:rPr>
                <w:rFonts w:cs="Arial"/>
              </w:rPr>
              <w:t>All changes in Agresso should be reviewed and approved by an independent reviewer who checks all details back to source documentation before the account is activated.  This would be a preventative control and the same control as performed by the Accounts Payable team.</w:t>
            </w:r>
          </w:p>
        </w:tc>
        <w:tc>
          <w:tcPr>
            <w:tcW w:w="2247" w:type="dxa"/>
          </w:tcPr>
          <w:p w:rsidR="00874DC8" w:rsidRPr="00675627" w:rsidRDefault="00C66788" w:rsidP="00ED2689">
            <w:pPr>
              <w:jc w:val="both"/>
              <w:rPr>
                <w:rFonts w:cs="Arial"/>
              </w:rPr>
            </w:pPr>
            <w:r w:rsidRPr="00675627">
              <w:rPr>
                <w:rFonts w:cs="Arial"/>
              </w:rPr>
              <w:t>Process improvement</w:t>
            </w:r>
          </w:p>
        </w:tc>
      </w:tr>
      <w:tr w:rsidR="00C66788" w:rsidRPr="00675627"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C66788" w:rsidRPr="00675627" w:rsidRDefault="00C66788" w:rsidP="00ED2689">
            <w:pPr>
              <w:rPr>
                <w:rFonts w:cs="Arial"/>
              </w:rPr>
            </w:pPr>
            <w:r w:rsidRPr="00675627">
              <w:rPr>
                <w:rFonts w:cs="Arial"/>
              </w:rPr>
              <w:t>6</w:t>
            </w:r>
          </w:p>
        </w:tc>
        <w:tc>
          <w:tcPr>
            <w:tcW w:w="5954" w:type="dxa"/>
          </w:tcPr>
          <w:p w:rsidR="00C66788" w:rsidRPr="00675627" w:rsidRDefault="003F4FED" w:rsidP="000B786A">
            <w:pPr>
              <w:jc w:val="both"/>
              <w:rPr>
                <w:rFonts w:cs="Arial"/>
              </w:rPr>
            </w:pPr>
            <w:r w:rsidRPr="00675627">
              <w:rPr>
                <w:rFonts w:cs="Arial"/>
              </w:rPr>
              <w:t>There is no formal process</w:t>
            </w:r>
            <w:r w:rsidR="00C66788" w:rsidRPr="00675627">
              <w:rPr>
                <w:rFonts w:cs="Arial"/>
              </w:rPr>
              <w:t xml:space="preserve"> for dealing with payments of urgent claims.</w:t>
            </w:r>
            <w:r w:rsidR="000B786A" w:rsidRPr="00675627">
              <w:rPr>
                <w:rFonts w:cs="Arial"/>
              </w:rPr>
              <w:t xml:space="preserve"> Normally urgent payments requests should be processed within one working day. </w:t>
            </w:r>
            <w:r w:rsidRPr="00675627">
              <w:rPr>
                <w:rFonts w:cs="Arial"/>
              </w:rPr>
              <w:t>The Claims team should ensure requests are made in adequate time for the Finance team to meet Beazley's objectives of paying claims within SLAs</w:t>
            </w:r>
            <w:r w:rsidR="000B786A" w:rsidRPr="00675627">
              <w:rPr>
                <w:rFonts w:cs="Arial"/>
              </w:rPr>
              <w:t xml:space="preserve"> and to reduce the pressure on the payments team</w:t>
            </w:r>
            <w:r w:rsidRPr="00675627">
              <w:rPr>
                <w:rFonts w:cs="Arial"/>
              </w:rPr>
              <w:t>.</w:t>
            </w:r>
          </w:p>
        </w:tc>
        <w:tc>
          <w:tcPr>
            <w:tcW w:w="2247" w:type="dxa"/>
          </w:tcPr>
          <w:p w:rsidR="00C66788" w:rsidRPr="00675627" w:rsidRDefault="000B786A" w:rsidP="00ED2689">
            <w:pPr>
              <w:jc w:val="both"/>
              <w:rPr>
                <w:rFonts w:cs="Arial"/>
              </w:rPr>
            </w:pPr>
            <w:r w:rsidRPr="00675627">
              <w:rPr>
                <w:rFonts w:cs="Arial"/>
              </w:rPr>
              <w:t>Process improvement</w:t>
            </w:r>
          </w:p>
        </w:tc>
      </w:tr>
      <w:tr w:rsidR="000B786A" w:rsidRPr="00675627"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0B786A" w:rsidRPr="00675627" w:rsidRDefault="000B786A" w:rsidP="00ED2689">
            <w:pPr>
              <w:rPr>
                <w:rFonts w:cs="Arial"/>
              </w:rPr>
            </w:pPr>
            <w:r w:rsidRPr="00675627">
              <w:rPr>
                <w:rFonts w:cs="Arial"/>
              </w:rPr>
              <w:t>7</w:t>
            </w:r>
          </w:p>
        </w:tc>
        <w:tc>
          <w:tcPr>
            <w:tcW w:w="5954" w:type="dxa"/>
          </w:tcPr>
          <w:p w:rsidR="000B786A" w:rsidRPr="00675627" w:rsidRDefault="000B786A" w:rsidP="000B786A">
            <w:pPr>
              <w:jc w:val="both"/>
              <w:rPr>
                <w:rFonts w:cs="Arial"/>
              </w:rPr>
            </w:pPr>
            <w:r w:rsidRPr="00675627">
              <w:rPr>
                <w:rFonts w:cs="Arial"/>
              </w:rPr>
              <w:t xml:space="preserve">Coverholder Operations team should review bank statements for returned claims payments and make necessary adjustments on a timely basis </w:t>
            </w:r>
            <w:r w:rsidR="00B30FD4" w:rsidRPr="00675627">
              <w:rPr>
                <w:rFonts w:cs="Arial"/>
              </w:rPr>
              <w:t>(e.g</w:t>
            </w:r>
            <w:r w:rsidRPr="00675627">
              <w:rPr>
                <w:rFonts w:cs="Arial"/>
              </w:rPr>
              <w:t>. weekly).</w:t>
            </w:r>
          </w:p>
        </w:tc>
        <w:tc>
          <w:tcPr>
            <w:tcW w:w="2247" w:type="dxa"/>
          </w:tcPr>
          <w:p w:rsidR="000B786A" w:rsidRPr="00675627" w:rsidRDefault="00B30FD4" w:rsidP="00ED2689">
            <w:pPr>
              <w:jc w:val="both"/>
              <w:rPr>
                <w:rFonts w:cs="Arial"/>
              </w:rPr>
            </w:pPr>
            <w:r w:rsidRPr="00675627">
              <w:rPr>
                <w:rFonts w:cs="Arial"/>
              </w:rPr>
              <w:t>Control gap</w:t>
            </w:r>
          </w:p>
        </w:tc>
      </w:tr>
    </w:tbl>
    <w:p w:rsidR="00132D36" w:rsidRPr="00675627" w:rsidRDefault="00132D36" w:rsidP="00E707D7">
      <w:pPr>
        <w:pStyle w:val="IntroductionSmall"/>
        <w:rPr>
          <w:rFonts w:ascii="Verdana" w:hAnsi="Verdana" w:cs="Arial"/>
          <w:b/>
        </w:rPr>
      </w:pPr>
    </w:p>
    <w:p w:rsidR="00E707D7" w:rsidRPr="00675627" w:rsidRDefault="00E707D7" w:rsidP="00E707D7">
      <w:pPr>
        <w:pStyle w:val="IntroductionSmall"/>
        <w:rPr>
          <w:rFonts w:ascii="Verdana" w:hAnsi="Verdana" w:cs="Arial"/>
          <w:b/>
        </w:rPr>
      </w:pPr>
      <w:r w:rsidRPr="00675627">
        <w:rPr>
          <w:rFonts w:ascii="Verdana" w:hAnsi="Verdana" w:cs="Arial"/>
          <w:b/>
        </w:rPr>
        <w:t>Future Development Requirements</w:t>
      </w:r>
    </w:p>
    <w:p w:rsidR="00E707D7" w:rsidRPr="00675627" w:rsidRDefault="00E707D7" w:rsidP="00E707D7">
      <w:pPr>
        <w:rPr>
          <w:rFonts w:cs="Arial"/>
        </w:rPr>
      </w:pPr>
      <w:r w:rsidRPr="00675627">
        <w:rPr>
          <w:rFonts w:cs="Arial"/>
        </w:rPr>
        <w:t xml:space="preserve">Below is a list of </w:t>
      </w:r>
      <w:r w:rsidR="002F6A2E">
        <w:rPr>
          <w:rFonts w:cs="Arial"/>
        </w:rPr>
        <w:t>future development requirements</w:t>
      </w:r>
      <w:r w:rsidRPr="00675627">
        <w:rPr>
          <w:rFonts w:cs="Arial"/>
        </w:rPr>
        <w:t xml:space="preserve"> identified</w:t>
      </w:r>
      <w:r w:rsidR="002F6A2E">
        <w:rPr>
          <w:rFonts w:cs="Arial"/>
        </w:rPr>
        <w:t>.</w:t>
      </w:r>
    </w:p>
    <w:p w:rsidR="00875B4D" w:rsidRPr="00675627" w:rsidRDefault="00875B4D" w:rsidP="00E707D7">
      <w:pPr>
        <w:rPr>
          <w:rFonts w:cs="Arial"/>
        </w:rPr>
      </w:pPr>
    </w:p>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8222"/>
      </w:tblGrid>
      <w:tr w:rsidR="00E707D7" w:rsidRPr="00675627" w:rsidTr="00875B4D">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675627" w:rsidRDefault="00E707D7" w:rsidP="00E707D7">
            <w:pPr>
              <w:rPr>
                <w:rFonts w:cs="Arial"/>
                <w:b/>
              </w:rPr>
            </w:pPr>
          </w:p>
        </w:tc>
        <w:tc>
          <w:tcPr>
            <w:tcW w:w="8222"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675627" w:rsidRDefault="00E707D7" w:rsidP="00D77F32">
            <w:pPr>
              <w:jc w:val="center"/>
              <w:rPr>
                <w:rFonts w:cs="Arial"/>
                <w:b/>
              </w:rPr>
            </w:pPr>
            <w:r w:rsidRPr="00675627">
              <w:rPr>
                <w:rFonts w:cs="Arial"/>
                <w:b/>
              </w:rPr>
              <w:t>Summary Details</w:t>
            </w:r>
          </w:p>
          <w:p w:rsidR="00E707D7" w:rsidRPr="00675627" w:rsidRDefault="00E707D7" w:rsidP="00E707D7">
            <w:pPr>
              <w:rPr>
                <w:rFonts w:cs="Arial"/>
                <w:b/>
              </w:rPr>
            </w:pPr>
          </w:p>
        </w:tc>
      </w:tr>
      <w:tr w:rsidR="00CA63E7" w:rsidRPr="00675627" w:rsidTr="00875B4D">
        <w:tc>
          <w:tcPr>
            <w:tcW w:w="709" w:type="dxa"/>
            <w:tcBorders>
              <w:top w:val="single" w:sz="6" w:space="0" w:color="666666"/>
              <w:left w:val="single" w:sz="6" w:space="0" w:color="666666"/>
              <w:bottom w:val="nil"/>
              <w:right w:val="single" w:sz="6" w:space="0" w:color="666666"/>
              <w:tl2br w:val="nil"/>
              <w:tr2bl w:val="nil"/>
            </w:tcBorders>
            <w:shd w:val="clear" w:color="auto" w:fill="FFFFFF" w:themeFill="background1"/>
          </w:tcPr>
          <w:p w:rsidR="00CA63E7" w:rsidRPr="00675627" w:rsidRDefault="00CA63E7" w:rsidP="00E707D7">
            <w:pPr>
              <w:rPr>
                <w:rFonts w:cs="Arial"/>
              </w:rPr>
            </w:pPr>
            <w:r w:rsidRPr="00675627">
              <w:rPr>
                <w:rFonts w:cs="Arial"/>
              </w:rPr>
              <w:t>1</w:t>
            </w:r>
          </w:p>
        </w:tc>
        <w:tc>
          <w:tcPr>
            <w:tcW w:w="8222" w:type="dxa"/>
          </w:tcPr>
          <w:p w:rsidR="00CA63E7" w:rsidRPr="00675627" w:rsidRDefault="00CA63E7" w:rsidP="00CA63E7">
            <w:pPr>
              <w:rPr>
                <w:rFonts w:cs="Arial"/>
                <w:highlight w:val="yellow"/>
              </w:rPr>
            </w:pPr>
            <w:r w:rsidRPr="00675627">
              <w:rPr>
                <w:rFonts w:cs="Arial"/>
              </w:rPr>
              <w:t xml:space="preserve">Automation the </w:t>
            </w:r>
            <w:r w:rsidR="00A95621" w:rsidRPr="00675627">
              <w:rPr>
                <w:rFonts w:cs="Arial"/>
              </w:rPr>
              <w:t>claims</w:t>
            </w:r>
            <w:r w:rsidR="003F4FED" w:rsidRPr="00675627">
              <w:rPr>
                <w:rFonts w:cs="Arial"/>
              </w:rPr>
              <w:t xml:space="preserve"> data load </w:t>
            </w:r>
            <w:r w:rsidRPr="00675627">
              <w:rPr>
                <w:rFonts w:cs="Arial"/>
              </w:rPr>
              <w:t>from source systems/input files to FDM.</w:t>
            </w:r>
          </w:p>
        </w:tc>
      </w:tr>
      <w:tr w:rsidR="00CA63E7" w:rsidRPr="00675627" w:rsidTr="00875B4D">
        <w:tc>
          <w:tcPr>
            <w:tcW w:w="709" w:type="dxa"/>
            <w:tcBorders>
              <w:left w:val="single" w:sz="6" w:space="0" w:color="666666"/>
              <w:right w:val="single" w:sz="6" w:space="0" w:color="666666"/>
              <w:tl2br w:val="nil"/>
              <w:tr2bl w:val="nil"/>
            </w:tcBorders>
            <w:shd w:val="clear" w:color="auto" w:fill="FFFFFF" w:themeFill="background1"/>
          </w:tcPr>
          <w:p w:rsidR="00CA63E7" w:rsidRPr="00675627" w:rsidRDefault="00CA63E7" w:rsidP="00E707D7">
            <w:pPr>
              <w:rPr>
                <w:rFonts w:cs="Arial"/>
              </w:rPr>
            </w:pPr>
            <w:r w:rsidRPr="00675627">
              <w:rPr>
                <w:rFonts w:cs="Arial"/>
              </w:rPr>
              <w:t>2</w:t>
            </w:r>
          </w:p>
        </w:tc>
        <w:tc>
          <w:tcPr>
            <w:tcW w:w="8222" w:type="dxa"/>
          </w:tcPr>
          <w:p w:rsidR="00CA63E7" w:rsidRPr="00675627" w:rsidRDefault="00CA63E7" w:rsidP="00CA63E7">
            <w:pPr>
              <w:rPr>
                <w:rFonts w:cs="Arial"/>
              </w:rPr>
            </w:pPr>
            <w:r w:rsidRPr="00675627">
              <w:rPr>
                <w:rFonts w:cs="Arial"/>
              </w:rPr>
              <w:t xml:space="preserve">Automation of the posting of </w:t>
            </w:r>
            <w:r w:rsidR="00A95621" w:rsidRPr="00675627">
              <w:rPr>
                <w:rFonts w:cs="Arial"/>
              </w:rPr>
              <w:t>claims</w:t>
            </w:r>
            <w:r w:rsidRPr="00675627">
              <w:rPr>
                <w:rFonts w:cs="Arial"/>
              </w:rPr>
              <w:t xml:space="preserve"> journals from FDM to Agresso.</w:t>
            </w:r>
          </w:p>
        </w:tc>
      </w:tr>
      <w:tr w:rsidR="00B30FD4" w:rsidRPr="00675627" w:rsidTr="00875B4D">
        <w:tc>
          <w:tcPr>
            <w:tcW w:w="709" w:type="dxa"/>
            <w:tcBorders>
              <w:left w:val="single" w:sz="6" w:space="0" w:color="666666"/>
              <w:right w:val="single" w:sz="6" w:space="0" w:color="666666"/>
              <w:tl2br w:val="nil"/>
              <w:tr2bl w:val="nil"/>
            </w:tcBorders>
            <w:shd w:val="clear" w:color="auto" w:fill="FFFFFF" w:themeFill="background1"/>
          </w:tcPr>
          <w:p w:rsidR="00B30FD4" w:rsidRPr="00675627" w:rsidRDefault="00B30FD4" w:rsidP="00E707D7">
            <w:pPr>
              <w:rPr>
                <w:rFonts w:cs="Arial"/>
              </w:rPr>
            </w:pPr>
            <w:r w:rsidRPr="00675627">
              <w:rPr>
                <w:rFonts w:cs="Arial"/>
              </w:rPr>
              <w:t>3</w:t>
            </w:r>
          </w:p>
        </w:tc>
        <w:tc>
          <w:tcPr>
            <w:tcW w:w="8222" w:type="dxa"/>
          </w:tcPr>
          <w:p w:rsidR="00B30FD4" w:rsidRPr="00675627" w:rsidRDefault="00B30FD4" w:rsidP="00CA63E7">
            <w:pPr>
              <w:rPr>
                <w:rFonts w:cs="Arial"/>
              </w:rPr>
            </w:pPr>
            <w:r w:rsidRPr="00675627">
              <w:rPr>
                <w:rFonts w:cs="Arial"/>
              </w:rPr>
              <w:t>Automation of claims settlement journals</w:t>
            </w:r>
          </w:p>
        </w:tc>
      </w:tr>
      <w:tr w:rsidR="00CA63E7" w:rsidRPr="00675627" w:rsidTr="00875B4D">
        <w:tc>
          <w:tcPr>
            <w:tcW w:w="709" w:type="dxa"/>
            <w:tcBorders>
              <w:left w:val="single" w:sz="6" w:space="0" w:color="666666"/>
              <w:right w:val="single" w:sz="6" w:space="0" w:color="666666"/>
              <w:tl2br w:val="nil"/>
              <w:tr2bl w:val="nil"/>
            </w:tcBorders>
            <w:shd w:val="clear" w:color="auto" w:fill="FFFFFF" w:themeFill="background1"/>
          </w:tcPr>
          <w:p w:rsidR="00CA63E7" w:rsidRPr="00675627" w:rsidRDefault="00B30FD4" w:rsidP="00E707D7">
            <w:pPr>
              <w:rPr>
                <w:rFonts w:cs="Arial"/>
                <w:sz w:val="16"/>
                <w:szCs w:val="16"/>
              </w:rPr>
            </w:pPr>
            <w:r w:rsidRPr="00675627">
              <w:rPr>
                <w:rFonts w:cs="Arial"/>
                <w:sz w:val="16"/>
                <w:szCs w:val="16"/>
              </w:rPr>
              <w:t>4</w:t>
            </w:r>
          </w:p>
        </w:tc>
        <w:tc>
          <w:tcPr>
            <w:tcW w:w="8222" w:type="dxa"/>
          </w:tcPr>
          <w:p w:rsidR="00CA63E7" w:rsidRPr="00675627" w:rsidRDefault="00CA63E7" w:rsidP="00CA63E7">
            <w:pPr>
              <w:jc w:val="both"/>
              <w:rPr>
                <w:rFonts w:cs="Arial"/>
                <w:szCs w:val="18"/>
              </w:rPr>
            </w:pPr>
            <w:r w:rsidRPr="00675627">
              <w:rPr>
                <w:rFonts w:cs="Arial"/>
                <w:szCs w:val="18"/>
              </w:rPr>
              <w:t>Automation of the following manu</w:t>
            </w:r>
            <w:r w:rsidR="001060CC" w:rsidRPr="00675627">
              <w:rPr>
                <w:rFonts w:cs="Arial"/>
                <w:szCs w:val="18"/>
              </w:rPr>
              <w:t xml:space="preserve">al </w:t>
            </w:r>
            <w:r w:rsidR="00A95621" w:rsidRPr="00675627">
              <w:rPr>
                <w:rFonts w:cs="Arial"/>
                <w:szCs w:val="18"/>
              </w:rPr>
              <w:t>claims</w:t>
            </w:r>
            <w:r w:rsidR="001060CC" w:rsidRPr="00675627">
              <w:rPr>
                <w:rFonts w:cs="Arial"/>
                <w:szCs w:val="18"/>
              </w:rPr>
              <w:t xml:space="preserve"> data reconciliations </w:t>
            </w:r>
            <w:r w:rsidRPr="00675627">
              <w:rPr>
                <w:rFonts w:cs="Arial"/>
                <w:szCs w:val="18"/>
              </w:rPr>
              <w:t xml:space="preserve">performed by Finance in the </w:t>
            </w:r>
            <w:r w:rsidR="00A95621" w:rsidRPr="00675627">
              <w:rPr>
                <w:rFonts w:cs="Arial"/>
                <w:szCs w:val="18"/>
              </w:rPr>
              <w:t>claims</w:t>
            </w:r>
            <w:r w:rsidRPr="00675627">
              <w:rPr>
                <w:rFonts w:cs="Arial"/>
                <w:szCs w:val="18"/>
              </w:rPr>
              <w:t xml:space="preserve"> process as shown below. </w:t>
            </w:r>
          </w:p>
          <w:p w:rsidR="003A2560" w:rsidRPr="00675627" w:rsidRDefault="003A2560" w:rsidP="003A2560">
            <w:pPr>
              <w:pStyle w:val="ListParagraph"/>
              <w:numPr>
                <w:ilvl w:val="0"/>
                <w:numId w:val="7"/>
              </w:numPr>
              <w:rPr>
                <w:rFonts w:cs="Arial"/>
                <w:szCs w:val="18"/>
              </w:rPr>
            </w:pPr>
            <w:r w:rsidRPr="00675627">
              <w:rPr>
                <w:rFonts w:cs="Arial"/>
                <w:szCs w:val="18"/>
              </w:rPr>
              <w:t>Reconciliation of FDM to Wizi</w:t>
            </w:r>
          </w:p>
          <w:p w:rsidR="003A2560" w:rsidRPr="00675627" w:rsidRDefault="003A2560" w:rsidP="003A2560">
            <w:pPr>
              <w:pStyle w:val="ListParagraph"/>
              <w:numPr>
                <w:ilvl w:val="0"/>
                <w:numId w:val="7"/>
              </w:numPr>
              <w:rPr>
                <w:rFonts w:cs="Arial"/>
                <w:szCs w:val="18"/>
              </w:rPr>
            </w:pPr>
            <w:r w:rsidRPr="00675627">
              <w:rPr>
                <w:rFonts w:cs="Arial"/>
                <w:szCs w:val="18"/>
              </w:rPr>
              <w:t>Reconciliation of FDM to Agresso</w:t>
            </w:r>
          </w:p>
          <w:p w:rsidR="003A2560" w:rsidRPr="00675627" w:rsidRDefault="003A2560" w:rsidP="003A2560">
            <w:pPr>
              <w:pStyle w:val="ListParagraph"/>
              <w:numPr>
                <w:ilvl w:val="0"/>
                <w:numId w:val="7"/>
              </w:numPr>
              <w:rPr>
                <w:rFonts w:cs="Arial"/>
                <w:szCs w:val="18"/>
              </w:rPr>
            </w:pPr>
            <w:r w:rsidRPr="00675627">
              <w:rPr>
                <w:rFonts w:cs="Arial"/>
                <w:szCs w:val="18"/>
              </w:rPr>
              <w:t xml:space="preserve">Daily claims settlement reports from </w:t>
            </w:r>
            <w:proofErr w:type="spellStart"/>
            <w:r w:rsidRPr="00675627">
              <w:rPr>
                <w:rFonts w:cs="Arial"/>
                <w:szCs w:val="18"/>
              </w:rPr>
              <w:t>Xchanging</w:t>
            </w:r>
            <w:proofErr w:type="spellEnd"/>
          </w:p>
          <w:p w:rsidR="00CA63E7" w:rsidRPr="00675627" w:rsidRDefault="003A2560" w:rsidP="003A2560">
            <w:pPr>
              <w:pStyle w:val="ListParagraph"/>
              <w:numPr>
                <w:ilvl w:val="0"/>
                <w:numId w:val="7"/>
              </w:numPr>
              <w:rPr>
                <w:rFonts w:cs="Arial"/>
              </w:rPr>
            </w:pPr>
            <w:r w:rsidRPr="00675627">
              <w:rPr>
                <w:rFonts w:cs="Arial"/>
                <w:szCs w:val="18"/>
              </w:rPr>
              <w:t>LCO reconciliation</w:t>
            </w:r>
            <w:bookmarkStart w:id="0" w:name="_GoBack"/>
            <w:bookmarkEnd w:id="0"/>
          </w:p>
        </w:tc>
      </w:tr>
    </w:tbl>
    <w:p w:rsidR="00E707D7" w:rsidRPr="00675627" w:rsidRDefault="00E707D7" w:rsidP="00E707D7">
      <w:pPr>
        <w:pStyle w:val="IntroductionSmall"/>
        <w:rPr>
          <w:rFonts w:ascii="Verdana" w:hAnsi="Verdana" w:cs="Arial"/>
        </w:rPr>
      </w:pPr>
    </w:p>
    <w:p w:rsidR="00B30FD4" w:rsidRPr="00675627" w:rsidRDefault="00B30FD4" w:rsidP="00E707D7">
      <w:pPr>
        <w:pStyle w:val="IntroductionSmall"/>
        <w:rPr>
          <w:rFonts w:ascii="Verdana" w:hAnsi="Verdana" w:cs="Arial"/>
        </w:rPr>
      </w:pPr>
    </w:p>
    <w:p w:rsidR="00B30FD4" w:rsidRPr="00675627" w:rsidRDefault="00B30FD4" w:rsidP="00E707D7">
      <w:pPr>
        <w:pStyle w:val="IntroductionSmall"/>
        <w:rPr>
          <w:rFonts w:ascii="Verdana" w:hAnsi="Verdana" w:cs="Arial"/>
        </w:rPr>
      </w:pPr>
    </w:p>
    <w:p w:rsidR="00B30FD4" w:rsidRPr="00675627" w:rsidRDefault="00B30FD4" w:rsidP="00E707D7">
      <w:pPr>
        <w:pStyle w:val="IntroductionSmall"/>
        <w:rPr>
          <w:rFonts w:ascii="Verdana" w:hAnsi="Verdana" w:cs="Arial"/>
        </w:rPr>
      </w:pPr>
    </w:p>
    <w:p w:rsidR="0080429E" w:rsidRPr="00675627" w:rsidRDefault="0080429E" w:rsidP="0080429E">
      <w:pPr>
        <w:pStyle w:val="IntroductionSmall"/>
        <w:rPr>
          <w:rFonts w:ascii="Verdana" w:hAnsi="Verdana" w:cs="Arial"/>
          <w:b/>
        </w:rPr>
      </w:pPr>
      <w:r w:rsidRPr="00675627">
        <w:rPr>
          <w:rFonts w:ascii="Verdana" w:hAnsi="Verdana" w:cs="Arial"/>
          <w:b/>
        </w:rPr>
        <w:t>Risk Register Controls</w:t>
      </w:r>
    </w:p>
    <w:p w:rsidR="0028435A" w:rsidRPr="00675627" w:rsidRDefault="0028435A" w:rsidP="0028435A">
      <w:pPr>
        <w:rPr>
          <w:rFonts w:cs="Arial"/>
        </w:rPr>
      </w:pPr>
      <w:r w:rsidRPr="00675627">
        <w:rPr>
          <w:rFonts w:cs="Arial"/>
        </w:rPr>
        <w:t xml:space="preserve">Below </w:t>
      </w:r>
      <w:r w:rsidR="00875B4D" w:rsidRPr="00675627">
        <w:rPr>
          <w:rFonts w:cs="Arial"/>
        </w:rPr>
        <w:t>is a</w:t>
      </w:r>
      <w:r w:rsidRPr="00675627">
        <w:rPr>
          <w:rFonts w:cs="Arial"/>
        </w:rPr>
        <w:t xml:space="preserve"> list of controls identified for the risk register</w:t>
      </w:r>
      <w:r w:rsidR="002F6A2E">
        <w:rPr>
          <w:rFonts w:cs="Arial"/>
        </w:rPr>
        <w:t>.</w:t>
      </w:r>
    </w:p>
    <w:p w:rsidR="0028435A" w:rsidRPr="00675627" w:rsidRDefault="0028435A" w:rsidP="0028435A">
      <w:pPr>
        <w:rPr>
          <w:rFonts w:cs="Arial"/>
        </w:rPr>
      </w:pPr>
    </w:p>
    <w:tbl>
      <w:tblPr>
        <w:tblStyle w:val="TableGrid"/>
        <w:tblW w:w="9167" w:type="dxa"/>
        <w:tblInd w:w="-1310" w:type="dxa"/>
        <w:tblLook w:val="04A0" w:firstRow="1" w:lastRow="0" w:firstColumn="1" w:lastColumn="0" w:noHBand="0" w:noVBand="1"/>
      </w:tblPr>
      <w:tblGrid>
        <w:gridCol w:w="2269"/>
        <w:gridCol w:w="4839"/>
        <w:gridCol w:w="2059"/>
      </w:tblGrid>
      <w:tr w:rsidR="0028435A" w:rsidRPr="00675627" w:rsidTr="00217F72">
        <w:trPr>
          <w:trHeight w:val="792"/>
        </w:trPr>
        <w:tc>
          <w:tcPr>
            <w:tcW w:w="2269" w:type="dxa"/>
            <w:shd w:val="clear" w:color="auto" w:fill="D9D9D9" w:themeFill="background1" w:themeFillShade="D9"/>
            <w:hideMark/>
          </w:tcPr>
          <w:p w:rsidR="0028435A" w:rsidRPr="00675627" w:rsidRDefault="0028435A" w:rsidP="003E4938">
            <w:pPr>
              <w:rPr>
                <w:rFonts w:cs="Arial"/>
                <w:b/>
              </w:rPr>
            </w:pPr>
            <w:r w:rsidRPr="00675627">
              <w:rPr>
                <w:rFonts w:cs="Arial"/>
                <w:b/>
              </w:rPr>
              <w:t>POAP Major Process Objective (s)</w:t>
            </w:r>
          </w:p>
        </w:tc>
        <w:tc>
          <w:tcPr>
            <w:tcW w:w="4839" w:type="dxa"/>
            <w:shd w:val="clear" w:color="auto" w:fill="D9D9D9" w:themeFill="background1" w:themeFillShade="D9"/>
            <w:noWrap/>
            <w:hideMark/>
          </w:tcPr>
          <w:p w:rsidR="0028435A" w:rsidRPr="00675627" w:rsidRDefault="0028435A" w:rsidP="003E4938">
            <w:pPr>
              <w:rPr>
                <w:rFonts w:cs="Arial"/>
                <w:b/>
              </w:rPr>
            </w:pPr>
            <w:r w:rsidRPr="00675627">
              <w:rPr>
                <w:rFonts w:cs="Arial"/>
                <w:b/>
              </w:rPr>
              <w:t>Risk Register Control</w:t>
            </w:r>
          </w:p>
        </w:tc>
        <w:tc>
          <w:tcPr>
            <w:tcW w:w="2059" w:type="dxa"/>
            <w:shd w:val="clear" w:color="auto" w:fill="D9D9D9" w:themeFill="background1" w:themeFillShade="D9"/>
          </w:tcPr>
          <w:p w:rsidR="0028435A" w:rsidRPr="00675627" w:rsidRDefault="0028435A" w:rsidP="003E4938">
            <w:pPr>
              <w:rPr>
                <w:rFonts w:cs="Arial"/>
                <w:b/>
              </w:rPr>
            </w:pPr>
            <w:r w:rsidRPr="00675627">
              <w:rPr>
                <w:rFonts w:cs="Arial"/>
                <w:b/>
              </w:rPr>
              <w:t>Status/Comment</w:t>
            </w:r>
          </w:p>
        </w:tc>
      </w:tr>
      <w:tr w:rsidR="00EA64A1" w:rsidRPr="00675627" w:rsidTr="00217F72">
        <w:trPr>
          <w:trHeight w:val="1682"/>
        </w:trPr>
        <w:tc>
          <w:tcPr>
            <w:tcW w:w="2269" w:type="dxa"/>
            <w:vMerge w:val="restart"/>
            <w:hideMark/>
          </w:tcPr>
          <w:p w:rsidR="00EA64A1" w:rsidRPr="00675627" w:rsidRDefault="00EA64A1" w:rsidP="003E4938">
            <w:pPr>
              <w:rPr>
                <w:rFonts w:cs="Arial"/>
              </w:rPr>
            </w:pPr>
            <w:r w:rsidRPr="00675627">
              <w:rPr>
                <w:rFonts w:cs="Arial"/>
              </w:rPr>
              <w:t>Ensure all changes to master data are valid</w:t>
            </w:r>
          </w:p>
          <w:p w:rsidR="00EA64A1" w:rsidRPr="00675627" w:rsidRDefault="00EA64A1" w:rsidP="00710630">
            <w:pPr>
              <w:rPr>
                <w:rFonts w:cs="Arial"/>
              </w:rPr>
            </w:pPr>
            <w:r>
              <w:rPr>
                <w:rFonts w:cs="Arial"/>
              </w:rPr>
              <w:t>Ensure claims settlements are valid</w:t>
            </w:r>
          </w:p>
        </w:tc>
        <w:tc>
          <w:tcPr>
            <w:tcW w:w="4839" w:type="dxa"/>
            <w:hideMark/>
          </w:tcPr>
          <w:p w:rsidR="00EA64A1" w:rsidRPr="00675627" w:rsidRDefault="00EA64A1" w:rsidP="003E4938">
            <w:pPr>
              <w:rPr>
                <w:rFonts w:cs="Arial"/>
              </w:rPr>
            </w:pPr>
            <w:r w:rsidRPr="00675627">
              <w:rPr>
                <w:rFonts w:cs="Arial"/>
              </w:rPr>
              <w:t>- Access to change master data (policy and vendor Master file) in FDM and Agresso is restricted.</w:t>
            </w:r>
            <w:r w:rsidRPr="00675627">
              <w:rPr>
                <w:rFonts w:cs="Arial"/>
              </w:rPr>
              <w:br/>
              <w:t>- All changes to master data in FDM and Agresso are appropriately approved.</w:t>
            </w:r>
            <w:r w:rsidRPr="00675627">
              <w:rPr>
                <w:rFonts w:cs="Arial"/>
              </w:rPr>
              <w:br/>
              <w:t>- Periodic access reviews are completed and any invalid access to FDM and Agresso are disabled.</w:t>
            </w:r>
          </w:p>
        </w:tc>
        <w:tc>
          <w:tcPr>
            <w:tcW w:w="2059" w:type="dxa"/>
          </w:tcPr>
          <w:p w:rsidR="00EA64A1" w:rsidRPr="00675627" w:rsidRDefault="00EA64A1" w:rsidP="003E4938">
            <w:pPr>
              <w:rPr>
                <w:rFonts w:cs="Arial"/>
              </w:rPr>
            </w:pPr>
            <w:r w:rsidRPr="00675627">
              <w:rPr>
                <w:rFonts w:cs="Arial"/>
              </w:rPr>
              <w:t>New Proposed control. This control is applicable to all processes which uses FDM and Agresso.</w:t>
            </w:r>
          </w:p>
        </w:tc>
      </w:tr>
      <w:tr w:rsidR="00EA64A1" w:rsidRPr="00675627" w:rsidTr="00217F72">
        <w:trPr>
          <w:trHeight w:val="1682"/>
        </w:trPr>
        <w:tc>
          <w:tcPr>
            <w:tcW w:w="2269" w:type="dxa"/>
            <w:vMerge/>
          </w:tcPr>
          <w:p w:rsidR="00EA64A1" w:rsidRPr="00675627" w:rsidRDefault="00EA64A1" w:rsidP="00710630">
            <w:pPr>
              <w:rPr>
                <w:rFonts w:cs="Arial"/>
              </w:rPr>
            </w:pPr>
          </w:p>
        </w:tc>
        <w:tc>
          <w:tcPr>
            <w:tcW w:w="4839" w:type="dxa"/>
          </w:tcPr>
          <w:p w:rsidR="00EA64A1" w:rsidRPr="00675627" w:rsidRDefault="00EA64A1" w:rsidP="00710630">
            <w:pPr>
              <w:rPr>
                <w:rFonts w:cs="Arial"/>
              </w:rPr>
            </w:pPr>
            <w:r w:rsidRPr="00675627">
              <w:rPr>
                <w:rFonts w:cs="Arial"/>
              </w:rPr>
              <w:t>Finance approves the release of payment in settlement of all approved claims.  Before approving the release of payment Finance performs the following (where applicable):</w:t>
            </w:r>
          </w:p>
          <w:p w:rsidR="00EA64A1" w:rsidRPr="00675627" w:rsidRDefault="00EA64A1" w:rsidP="00710630">
            <w:pPr>
              <w:rPr>
                <w:rFonts w:cs="Arial"/>
              </w:rPr>
            </w:pPr>
            <w:r w:rsidRPr="00675627">
              <w:rPr>
                <w:rFonts w:cs="Arial"/>
              </w:rPr>
              <w:t>- review and confirm the claim was approved by someone who has the appropriate authority level to approve the claim (non ClaimCenter claim only as authority limits are built within  ClaimCenter) by checking the approver against Group Claims Authority levels list sent from Group Claims Operations Manager (Steve Flood) to Coverholder Finance monthly and circulated to Payment Approvers.</w:t>
            </w:r>
          </w:p>
          <w:p w:rsidR="00EA64A1" w:rsidRPr="00675627" w:rsidRDefault="00EA64A1" w:rsidP="00710630">
            <w:pPr>
              <w:rPr>
                <w:rFonts w:cs="Arial"/>
              </w:rPr>
            </w:pPr>
            <w:r w:rsidRPr="00675627">
              <w:rPr>
                <w:rFonts w:cs="Arial"/>
              </w:rPr>
              <w:t>- agree the payee account details on the approved claim on ClaimCenter to the details on the payment request</w:t>
            </w:r>
            <w:r>
              <w:rPr>
                <w:rFonts w:cs="Arial"/>
              </w:rPr>
              <w:t>.</w:t>
            </w:r>
          </w:p>
          <w:p w:rsidR="00EA64A1" w:rsidRDefault="00EA64A1" w:rsidP="00710630">
            <w:pPr>
              <w:rPr>
                <w:rFonts w:cs="Arial"/>
              </w:rPr>
            </w:pPr>
            <w:r w:rsidRPr="00675627">
              <w:rPr>
                <w:rFonts w:cs="Arial"/>
              </w:rPr>
              <w:t>- ensure that the paym</w:t>
            </w:r>
            <w:r>
              <w:rPr>
                <w:rFonts w:cs="Arial"/>
              </w:rPr>
              <w:t>ent is not a duplicate payment.</w:t>
            </w:r>
          </w:p>
          <w:p w:rsidR="00EA64A1" w:rsidRDefault="00EA64A1" w:rsidP="00710630">
            <w:pPr>
              <w:rPr>
                <w:rFonts w:cs="Arial"/>
              </w:rPr>
            </w:pPr>
          </w:p>
          <w:p w:rsidR="00EA64A1" w:rsidRPr="00675627" w:rsidRDefault="00EA64A1" w:rsidP="00710630">
            <w:pPr>
              <w:rPr>
                <w:rFonts w:cs="Arial"/>
              </w:rPr>
            </w:pPr>
          </w:p>
        </w:tc>
        <w:tc>
          <w:tcPr>
            <w:tcW w:w="2059" w:type="dxa"/>
          </w:tcPr>
          <w:p w:rsidR="00EA64A1" w:rsidRDefault="00EA64A1" w:rsidP="00710630">
            <w:pPr>
              <w:rPr>
                <w:rFonts w:cs="Arial"/>
              </w:rPr>
            </w:pPr>
            <w:r w:rsidRPr="00675627">
              <w:rPr>
                <w:rFonts w:cs="Arial"/>
              </w:rPr>
              <w:t>Current control to be added to risk register.</w:t>
            </w:r>
          </w:p>
          <w:p w:rsidR="00EA64A1" w:rsidRPr="00675627" w:rsidRDefault="00EA64A1" w:rsidP="00710630">
            <w:pPr>
              <w:rPr>
                <w:rFonts w:cs="Arial"/>
              </w:rPr>
            </w:pPr>
            <w:r>
              <w:rPr>
                <w:rFonts w:cs="Arial"/>
              </w:rPr>
              <w:t>Confirm how this control can be monitored and consider adding this to risk register.</w:t>
            </w:r>
          </w:p>
        </w:tc>
      </w:tr>
      <w:tr w:rsidR="00EA64A1" w:rsidRPr="00675627" w:rsidTr="00217F72">
        <w:trPr>
          <w:trHeight w:val="700"/>
        </w:trPr>
        <w:tc>
          <w:tcPr>
            <w:tcW w:w="2269" w:type="dxa"/>
            <w:vMerge/>
          </w:tcPr>
          <w:p w:rsidR="00EA64A1" w:rsidRPr="00675627" w:rsidRDefault="00EA64A1" w:rsidP="003E4938">
            <w:pPr>
              <w:rPr>
                <w:rFonts w:cs="Arial"/>
              </w:rPr>
            </w:pPr>
          </w:p>
        </w:tc>
        <w:tc>
          <w:tcPr>
            <w:tcW w:w="4839" w:type="dxa"/>
          </w:tcPr>
          <w:p w:rsidR="00EA64A1" w:rsidRDefault="00EA64A1" w:rsidP="003E4938">
            <w:pPr>
              <w:rPr>
                <w:rFonts w:cs="Arial"/>
              </w:rPr>
            </w:pPr>
            <w:r>
              <w:rPr>
                <w:rFonts w:cs="Arial"/>
              </w:rPr>
              <w:t>Monthly bank reconciliations</w:t>
            </w:r>
          </w:p>
          <w:p w:rsidR="00EA64A1" w:rsidRDefault="00EA64A1" w:rsidP="00EA64A1">
            <w:pPr>
              <w:rPr>
                <w:rFonts w:cs="Arial"/>
              </w:rPr>
            </w:pPr>
            <w:r w:rsidRPr="00EA64A1">
              <w:rPr>
                <w:rFonts w:cs="Arial"/>
              </w:rPr>
              <w:t>Balance sheet accounts reconciliations are captured on the monthly Dashboard</w:t>
            </w:r>
            <w:r>
              <w:rPr>
                <w:rFonts w:cs="Arial"/>
              </w:rPr>
              <w:t xml:space="preserve"> under control # 452 in the risk register. </w:t>
            </w:r>
          </w:p>
          <w:p w:rsidR="00EA64A1" w:rsidRDefault="00EA64A1" w:rsidP="00EA64A1">
            <w:pPr>
              <w:rPr>
                <w:rFonts w:cs="Arial"/>
              </w:rPr>
            </w:pPr>
          </w:p>
          <w:p w:rsidR="00EA64A1" w:rsidRDefault="00EA64A1" w:rsidP="00EA64A1">
            <w:pPr>
              <w:rPr>
                <w:rFonts w:cs="Arial"/>
              </w:rPr>
            </w:pPr>
            <w:r>
              <w:rPr>
                <w:rFonts w:cs="Arial"/>
              </w:rPr>
              <w:t xml:space="preserve">Control #425 is as follows: </w:t>
            </w:r>
            <w:r w:rsidRPr="00EA64A1">
              <w:rPr>
                <w:rFonts w:cs="Arial"/>
              </w:rPr>
              <w:t>In the last quarter the balance sheet reconciliation dashboards have been completed. Any issues arising have been escalated to the HOGF and where appropriate actions are put in place to resolve and are being tracked to resolution.</w:t>
            </w:r>
          </w:p>
          <w:p w:rsidR="00EA64A1" w:rsidRDefault="00EA64A1" w:rsidP="00EA64A1">
            <w:pPr>
              <w:rPr>
                <w:rFonts w:cs="Arial"/>
              </w:rPr>
            </w:pPr>
          </w:p>
          <w:p w:rsidR="00EA64A1" w:rsidRDefault="00EA64A1" w:rsidP="00EA64A1">
            <w:pPr>
              <w:rPr>
                <w:rFonts w:cs="Arial"/>
              </w:rPr>
            </w:pPr>
          </w:p>
          <w:p w:rsidR="00EA64A1" w:rsidRPr="00675627" w:rsidRDefault="00EA64A1" w:rsidP="00EA64A1">
            <w:pPr>
              <w:rPr>
                <w:rFonts w:cs="Arial"/>
              </w:rPr>
            </w:pPr>
          </w:p>
        </w:tc>
        <w:tc>
          <w:tcPr>
            <w:tcW w:w="2059" w:type="dxa"/>
          </w:tcPr>
          <w:p w:rsidR="00EA64A1" w:rsidRPr="00675627" w:rsidRDefault="00EA64A1" w:rsidP="003E4938">
            <w:pPr>
              <w:rPr>
                <w:rFonts w:cs="Arial"/>
              </w:rPr>
            </w:pPr>
            <w:r>
              <w:rPr>
                <w:rFonts w:cs="Arial"/>
              </w:rPr>
              <w:t>Current control is already in the risk register. Keep control as is.</w:t>
            </w:r>
          </w:p>
        </w:tc>
      </w:tr>
      <w:tr w:rsidR="00EF34A7" w:rsidRPr="00675627" w:rsidTr="00217F72">
        <w:trPr>
          <w:trHeight w:val="700"/>
        </w:trPr>
        <w:tc>
          <w:tcPr>
            <w:tcW w:w="2269" w:type="dxa"/>
            <w:vMerge w:val="restart"/>
            <w:hideMark/>
          </w:tcPr>
          <w:p w:rsidR="00EF34A7" w:rsidRPr="00675627" w:rsidRDefault="00EF34A7" w:rsidP="003E4938">
            <w:pPr>
              <w:rPr>
                <w:rFonts w:cs="Arial"/>
              </w:rPr>
            </w:pPr>
            <w:r w:rsidRPr="00675627">
              <w:rPr>
                <w:rFonts w:cs="Arial"/>
              </w:rPr>
              <w:lastRenderedPageBreak/>
              <w:t>Ensure claims amounts in the ledger is accurate and complete</w:t>
            </w:r>
          </w:p>
          <w:p w:rsidR="00EF34A7" w:rsidRPr="00675627" w:rsidRDefault="00EF34A7" w:rsidP="003E4938">
            <w:pPr>
              <w:rPr>
                <w:rFonts w:cs="Arial"/>
              </w:rPr>
            </w:pPr>
            <w:r w:rsidRPr="00675627">
              <w:rPr>
                <w:rFonts w:cs="Arial"/>
              </w:rPr>
              <w:t> </w:t>
            </w:r>
          </w:p>
        </w:tc>
        <w:tc>
          <w:tcPr>
            <w:tcW w:w="4839" w:type="dxa"/>
            <w:hideMark/>
          </w:tcPr>
          <w:p w:rsidR="00EF34A7" w:rsidRPr="00675627" w:rsidRDefault="00EF34A7" w:rsidP="003E4938">
            <w:pPr>
              <w:rPr>
                <w:rFonts w:cs="Arial"/>
              </w:rPr>
            </w:pPr>
            <w:r w:rsidRPr="00675627">
              <w:rPr>
                <w:rFonts w:cs="Arial"/>
              </w:rPr>
              <w:t>Reconciliations of finance systems to source claims data</w:t>
            </w:r>
            <w:r>
              <w:rPr>
                <w:rFonts w:cs="Arial"/>
              </w:rPr>
              <w:t xml:space="preserve"> (i.e. Wizi).</w:t>
            </w:r>
          </w:p>
        </w:tc>
        <w:tc>
          <w:tcPr>
            <w:tcW w:w="2059" w:type="dxa"/>
          </w:tcPr>
          <w:p w:rsidR="00EF34A7" w:rsidRPr="00675627" w:rsidRDefault="00EF34A7" w:rsidP="003E4938">
            <w:pPr>
              <w:rPr>
                <w:rFonts w:cs="Arial"/>
              </w:rPr>
            </w:pPr>
            <w:r w:rsidRPr="00675627">
              <w:rPr>
                <w:rFonts w:cs="Arial"/>
              </w:rPr>
              <w:t>Current control to be added to risk register.</w:t>
            </w:r>
          </w:p>
        </w:tc>
      </w:tr>
      <w:tr w:rsidR="00EF34A7" w:rsidRPr="00675627" w:rsidTr="00217F72">
        <w:trPr>
          <w:trHeight w:val="1576"/>
        </w:trPr>
        <w:tc>
          <w:tcPr>
            <w:tcW w:w="2269" w:type="dxa"/>
            <w:vMerge/>
            <w:hideMark/>
          </w:tcPr>
          <w:p w:rsidR="00EF34A7" w:rsidRPr="00675627" w:rsidRDefault="00EF34A7" w:rsidP="003E4938">
            <w:pPr>
              <w:rPr>
                <w:rFonts w:cs="Arial"/>
              </w:rPr>
            </w:pPr>
          </w:p>
        </w:tc>
        <w:tc>
          <w:tcPr>
            <w:tcW w:w="4839" w:type="dxa"/>
            <w:hideMark/>
          </w:tcPr>
          <w:p w:rsidR="00EF34A7" w:rsidRPr="00675627" w:rsidRDefault="00EF34A7" w:rsidP="003E4938">
            <w:pPr>
              <w:rPr>
                <w:rFonts w:cs="Arial"/>
              </w:rPr>
            </w:pPr>
            <w:r w:rsidRPr="00675627">
              <w:rPr>
                <w:rFonts w:cs="Arial"/>
              </w:rPr>
              <w:t>- Analytical reviews of claims activity, including current and historical claims trends</w:t>
            </w:r>
            <w:r w:rsidRPr="00675627">
              <w:rPr>
                <w:rFonts w:cs="Arial"/>
              </w:rPr>
              <w:br/>
              <w:t>- Monthly analysis of claims amounts against budget and prior period by product category</w:t>
            </w:r>
            <w:r w:rsidRPr="00675627">
              <w:rPr>
                <w:rFonts w:cs="Arial"/>
              </w:rPr>
              <w:br/>
              <w:t>- Management review of significant claims deviations from expectations.</w:t>
            </w:r>
          </w:p>
        </w:tc>
        <w:tc>
          <w:tcPr>
            <w:tcW w:w="2059" w:type="dxa"/>
          </w:tcPr>
          <w:p w:rsidR="00EF34A7" w:rsidRPr="00675627" w:rsidRDefault="00EF34A7" w:rsidP="00875B4D">
            <w:pPr>
              <w:rPr>
                <w:rFonts w:cs="Arial"/>
              </w:rPr>
            </w:pPr>
            <w:r w:rsidRPr="00675627">
              <w:rPr>
                <w:rFonts w:cs="Arial"/>
              </w:rPr>
              <w:t>New Proposed control. Some of analytical reviews are in place but the control is not captured in the risk register.</w:t>
            </w:r>
          </w:p>
        </w:tc>
      </w:tr>
    </w:tbl>
    <w:p w:rsidR="00E707D7" w:rsidRPr="00675627" w:rsidRDefault="00E707D7" w:rsidP="00ED2689">
      <w:pPr>
        <w:pStyle w:val="IntroductionSmall"/>
        <w:rPr>
          <w:rFonts w:ascii="Verdana" w:hAnsi="Verdana" w:cs="Arial"/>
        </w:rPr>
      </w:pPr>
    </w:p>
    <w:sectPr w:rsidR="00E707D7" w:rsidRPr="00675627" w:rsidSect="007466AF">
      <w:headerReference w:type="default" r:id="rId13"/>
      <w:footerReference w:type="even" r:id="rId14"/>
      <w:footerReference w:type="default" r:id="rId15"/>
      <w:pgSz w:w="11906" w:h="16838" w:code="9"/>
      <w:pgMar w:top="720" w:right="1440" w:bottom="720" w:left="3168" w:header="720" w:footer="720" w:gutter="0"/>
      <w:cols w:space="7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470" w:rsidRDefault="00EB1470">
      <w:r>
        <w:separator/>
      </w:r>
    </w:p>
  </w:endnote>
  <w:endnote w:type="continuationSeparator" w:id="0">
    <w:p w:rsidR="00EB1470" w:rsidRDefault="00EB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470" w:rsidRDefault="00EB1470" w:rsidP="00383E50">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1470" w:rsidRDefault="00EB1470" w:rsidP="000639C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470" w:rsidRPr="000639C7" w:rsidRDefault="00EB1470" w:rsidP="000639C7">
    <w:pPr>
      <w:framePr w:wrap="around" w:vAnchor="text" w:hAnchor="margin" w:xAlign="right" w:y="321"/>
      <w:rPr>
        <w:rStyle w:val="PageNumber"/>
      </w:rPr>
    </w:pPr>
    <w:r w:rsidRPr="000639C7">
      <w:rPr>
        <w:rStyle w:val="PageNumber"/>
      </w:rPr>
      <w:fldChar w:fldCharType="begin"/>
    </w:r>
    <w:r w:rsidRPr="000639C7">
      <w:rPr>
        <w:rStyle w:val="PageNumber"/>
      </w:rPr>
      <w:instrText xml:space="preserve">PAGE  </w:instrText>
    </w:r>
    <w:r w:rsidRPr="000639C7">
      <w:rPr>
        <w:rStyle w:val="PageNumber"/>
      </w:rPr>
      <w:fldChar w:fldCharType="separate"/>
    </w:r>
    <w:r w:rsidR="002F6A2E">
      <w:rPr>
        <w:rStyle w:val="PageNumber"/>
        <w:noProof/>
      </w:rPr>
      <w:t>2</w:t>
    </w:r>
    <w:r w:rsidRPr="000639C7">
      <w:rPr>
        <w:rStyle w:val="PageNumber"/>
      </w:rPr>
      <w:fldChar w:fldCharType="end"/>
    </w:r>
  </w:p>
  <w:p w:rsidR="00EB1470" w:rsidRPr="008E21FE" w:rsidRDefault="00EB1470" w:rsidP="000639C7">
    <w:pPr>
      <w:ind w:right="360"/>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470" w:rsidRDefault="00EB1470">
      <w:r>
        <w:separator/>
      </w:r>
    </w:p>
  </w:footnote>
  <w:footnote w:type="continuationSeparator" w:id="0">
    <w:p w:rsidR="00EB1470" w:rsidRDefault="00EB14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470" w:rsidRPr="006F7478" w:rsidRDefault="00EB1470" w:rsidP="006F7478">
    <w:pPr>
      <w:tabs>
        <w:tab w:val="left" w:pos="2622"/>
        <w:tab w:val="right" w:pos="9630"/>
      </w:tabs>
    </w:pPr>
    <w:r>
      <w:rPr>
        <w:noProof/>
      </w:rPr>
      <w:drawing>
        <wp:anchor distT="0" distB="0" distL="114300" distR="114300" simplePos="0" relativeHeight="251657728" behindDoc="0" locked="0" layoutInCell="1" allowOverlap="1">
          <wp:simplePos x="0" y="0"/>
          <wp:positionH relativeFrom="column">
            <wp:posOffset>-1920240</wp:posOffset>
          </wp:positionH>
          <wp:positionV relativeFrom="paragraph">
            <wp:posOffset>97155</wp:posOffset>
          </wp:positionV>
          <wp:extent cx="7709535" cy="819785"/>
          <wp:effectExtent l="0" t="0" r="5715" b="0"/>
          <wp:wrapSquare wrapText="bothSides"/>
          <wp:docPr id="7" name="Picture 7" descr="beazley_logo_A4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azley_logo_A4_cr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9535" cy="819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33BBE"/>
    <w:multiLevelType w:val="hybridMultilevel"/>
    <w:tmpl w:val="4650C7C8"/>
    <w:lvl w:ilvl="0" w:tplc="CC00B1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F73E3C"/>
    <w:multiLevelType w:val="hybridMultilevel"/>
    <w:tmpl w:val="195893C4"/>
    <w:lvl w:ilvl="0" w:tplc="C5D292B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CD3DCE"/>
    <w:multiLevelType w:val="hybridMultilevel"/>
    <w:tmpl w:val="2F4011BC"/>
    <w:lvl w:ilvl="0" w:tplc="BD68F4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4D5BBA"/>
    <w:multiLevelType w:val="hybridMultilevel"/>
    <w:tmpl w:val="874C088A"/>
    <w:lvl w:ilvl="0" w:tplc="349CD6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EB00E1"/>
    <w:multiLevelType w:val="multilevel"/>
    <w:tmpl w:val="E0BC12A4"/>
    <w:styleLink w:val="NumberedBullets"/>
    <w:lvl w:ilvl="0">
      <w:start w:val="1"/>
      <w:numFmt w:val="decimal"/>
      <w:lvlText w:val="%1."/>
      <w:lvlJc w:val="left"/>
      <w:pPr>
        <w:tabs>
          <w:tab w:val="num" w:pos="720"/>
        </w:tabs>
        <w:ind w:left="720" w:hanging="360"/>
      </w:pPr>
      <w:rPr>
        <w:rFonts w:ascii="Verdana" w:hAnsi="Verdana" w:hint="default"/>
        <w:color w:val="000000"/>
        <w:sz w:val="18"/>
      </w:rPr>
    </w:lvl>
    <w:lvl w:ilvl="1">
      <w:start w:val="1"/>
      <w:numFmt w:val="lowerLetter"/>
      <w:lvlText w:val="%2."/>
      <w:lvlJc w:val="left"/>
      <w:pPr>
        <w:tabs>
          <w:tab w:val="num" w:pos="1080"/>
        </w:tabs>
        <w:ind w:left="1080" w:hanging="360"/>
      </w:pPr>
      <w:rPr>
        <w:rFonts w:ascii="Verdana" w:hAnsi="Verdana" w:hint="default"/>
        <w:color w:val="000000"/>
        <w:sz w:val="18"/>
      </w:rPr>
    </w:lvl>
    <w:lvl w:ilvl="2">
      <w:start w:val="1"/>
      <w:numFmt w:val="lowerRoman"/>
      <w:lvlText w:val="%3."/>
      <w:lvlJc w:val="left"/>
      <w:pPr>
        <w:tabs>
          <w:tab w:val="num" w:pos="1440"/>
        </w:tabs>
        <w:ind w:left="1440" w:hanging="360"/>
      </w:pPr>
      <w:rPr>
        <w:rFonts w:ascii="Verdana" w:hAnsi="Verdana" w:hint="default"/>
        <w:sz w:val="18"/>
      </w:rPr>
    </w:lvl>
    <w:lvl w:ilvl="3">
      <w:start w:val="1"/>
      <w:numFmt w:val="decimal"/>
      <w:lvlText w:val="%4."/>
      <w:lvlJc w:val="left"/>
      <w:pPr>
        <w:tabs>
          <w:tab w:val="num" w:pos="2880"/>
        </w:tabs>
        <w:ind w:left="2880" w:hanging="360"/>
      </w:pPr>
      <w:rPr>
        <w:rFonts w:ascii="Franklin Gothic Book" w:hAnsi="Franklin Gothic Book" w:hint="default"/>
        <w:sz w:val="20"/>
      </w:rPr>
    </w:lvl>
    <w:lvl w:ilvl="4">
      <w:start w:val="1"/>
      <w:numFmt w:val="lowerLetter"/>
      <w:lvlText w:val="%5."/>
      <w:lvlJc w:val="left"/>
      <w:pPr>
        <w:tabs>
          <w:tab w:val="num" w:pos="3600"/>
        </w:tabs>
        <w:ind w:left="3600" w:hanging="360"/>
      </w:pPr>
      <w:rPr>
        <w:rFonts w:ascii="Franklin Gothic Book" w:hAnsi="Franklin Gothic Book" w:hint="default"/>
        <w:sz w:val="20"/>
      </w:rPr>
    </w:lvl>
    <w:lvl w:ilvl="5">
      <w:start w:val="1"/>
      <w:numFmt w:val="lowerRoman"/>
      <w:lvlText w:val="%6."/>
      <w:lvlJc w:val="right"/>
      <w:pPr>
        <w:tabs>
          <w:tab w:val="num" w:pos="4320"/>
        </w:tabs>
        <w:ind w:left="4320" w:hanging="180"/>
      </w:pPr>
      <w:rPr>
        <w:rFonts w:ascii="Franklin Gothic Book" w:hAnsi="Franklin Gothic Book" w:hint="default"/>
        <w:sz w:val="20"/>
      </w:rPr>
    </w:lvl>
    <w:lvl w:ilvl="6">
      <w:start w:val="1"/>
      <w:numFmt w:val="decimal"/>
      <w:lvlText w:val="%7."/>
      <w:lvlJc w:val="left"/>
      <w:pPr>
        <w:tabs>
          <w:tab w:val="num" w:pos="5040"/>
        </w:tabs>
        <w:ind w:left="5040" w:hanging="360"/>
      </w:pPr>
      <w:rPr>
        <w:rFonts w:ascii="Franklin Gothic Book" w:hAnsi="Franklin Gothic Book" w:hint="default"/>
        <w:sz w:val="20"/>
      </w:rPr>
    </w:lvl>
    <w:lvl w:ilvl="7">
      <w:start w:val="1"/>
      <w:numFmt w:val="lowerLetter"/>
      <w:lvlText w:val="%8."/>
      <w:lvlJc w:val="left"/>
      <w:pPr>
        <w:tabs>
          <w:tab w:val="num" w:pos="5760"/>
        </w:tabs>
        <w:ind w:left="5760" w:hanging="360"/>
      </w:pPr>
      <w:rPr>
        <w:rFonts w:ascii="Franklin Gothic Book" w:hAnsi="Franklin Gothic Book" w:hint="default"/>
        <w:sz w:val="20"/>
      </w:rPr>
    </w:lvl>
    <w:lvl w:ilvl="8">
      <w:start w:val="1"/>
      <w:numFmt w:val="lowerRoman"/>
      <w:lvlText w:val="%9."/>
      <w:lvlJc w:val="right"/>
      <w:pPr>
        <w:tabs>
          <w:tab w:val="num" w:pos="6480"/>
        </w:tabs>
        <w:ind w:left="6480" w:hanging="180"/>
      </w:pPr>
      <w:rPr>
        <w:rFonts w:ascii="Franklin Gothic Book" w:hAnsi="Franklin Gothic Book" w:hint="default"/>
        <w:sz w:val="20"/>
      </w:rPr>
    </w:lvl>
  </w:abstractNum>
  <w:abstractNum w:abstractNumId="5">
    <w:nsid w:val="57121A08"/>
    <w:multiLevelType w:val="multilevel"/>
    <w:tmpl w:val="981E337C"/>
    <w:styleLink w:val="SquareBullet"/>
    <w:lvl w:ilvl="0">
      <w:start w:val="1"/>
      <w:numFmt w:val="bullet"/>
      <w:lvlText w:val=""/>
      <w:lvlJc w:val="left"/>
      <w:pPr>
        <w:tabs>
          <w:tab w:val="num" w:pos="720"/>
        </w:tabs>
        <w:ind w:left="720" w:hanging="360"/>
      </w:pPr>
      <w:rPr>
        <w:rFonts w:ascii="Wingdings 2" w:hAnsi="Wingdings 2" w:hint="default"/>
        <w:color w:val="CE118C"/>
        <w:sz w:val="20"/>
      </w:rPr>
    </w:lvl>
    <w:lvl w:ilvl="1">
      <w:start w:val="1"/>
      <w:numFmt w:val="bullet"/>
      <w:lvlText w:val=""/>
      <w:lvlJc w:val="left"/>
      <w:pPr>
        <w:tabs>
          <w:tab w:val="num" w:pos="1080"/>
        </w:tabs>
        <w:ind w:left="1080" w:hanging="360"/>
      </w:pPr>
      <w:rPr>
        <w:rFonts w:ascii="Wingdings 2" w:hAnsi="Wingdings 2" w:hint="default"/>
        <w:color w:val="000000"/>
        <w:sz w:val="20"/>
      </w:rPr>
    </w:lvl>
    <w:lvl w:ilvl="2">
      <w:start w:val="1"/>
      <w:numFmt w:val="bullet"/>
      <w:lvlText w:val=""/>
      <w:lvlJc w:val="left"/>
      <w:pPr>
        <w:tabs>
          <w:tab w:val="num" w:pos="1440"/>
        </w:tabs>
        <w:ind w:left="1440" w:hanging="360"/>
      </w:pPr>
      <w:rPr>
        <w:rFonts w:ascii="Wingdings 2" w:hAnsi="Wingdings 2" w:hint="default"/>
        <w:color w:val="808080"/>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6BF42B47"/>
    <w:multiLevelType w:val="hybridMultilevel"/>
    <w:tmpl w:val="7614669C"/>
    <w:lvl w:ilvl="0" w:tplc="B2E484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04"/>
  <w:displayHorizontalDrawingGridEvery w:val="0"/>
  <w:displayVerticalDrawingGridEvery w:val="0"/>
  <w:doNotUseMarginsForDrawingGridOrigin/>
  <w:noPunctuationKerning/>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55"/>
    <w:rsid w:val="00002747"/>
    <w:rsid w:val="0000383E"/>
    <w:rsid w:val="00004F32"/>
    <w:rsid w:val="0000703C"/>
    <w:rsid w:val="00015273"/>
    <w:rsid w:val="000152F0"/>
    <w:rsid w:val="0001592C"/>
    <w:rsid w:val="000169E7"/>
    <w:rsid w:val="00021F92"/>
    <w:rsid w:val="00022837"/>
    <w:rsid w:val="00027DAE"/>
    <w:rsid w:val="00035C86"/>
    <w:rsid w:val="00036136"/>
    <w:rsid w:val="00047624"/>
    <w:rsid w:val="00047A41"/>
    <w:rsid w:val="00061046"/>
    <w:rsid w:val="00062E73"/>
    <w:rsid w:val="00063543"/>
    <w:rsid w:val="000639C7"/>
    <w:rsid w:val="00087EAF"/>
    <w:rsid w:val="000919C5"/>
    <w:rsid w:val="00092BEF"/>
    <w:rsid w:val="0009751E"/>
    <w:rsid w:val="000A5267"/>
    <w:rsid w:val="000A61C7"/>
    <w:rsid w:val="000B2726"/>
    <w:rsid w:val="000B5637"/>
    <w:rsid w:val="000B5F65"/>
    <w:rsid w:val="000B6DFB"/>
    <w:rsid w:val="000B786A"/>
    <w:rsid w:val="000C1A29"/>
    <w:rsid w:val="000C4AAD"/>
    <w:rsid w:val="000D0BE1"/>
    <w:rsid w:val="000D3D39"/>
    <w:rsid w:val="000D4137"/>
    <w:rsid w:val="000D73A0"/>
    <w:rsid w:val="000D79C5"/>
    <w:rsid w:val="000E4117"/>
    <w:rsid w:val="000E7893"/>
    <w:rsid w:val="000F0AE4"/>
    <w:rsid w:val="000F76C5"/>
    <w:rsid w:val="00102242"/>
    <w:rsid w:val="00104233"/>
    <w:rsid w:val="001043E8"/>
    <w:rsid w:val="00105AB0"/>
    <w:rsid w:val="001060CC"/>
    <w:rsid w:val="00106AB2"/>
    <w:rsid w:val="00112048"/>
    <w:rsid w:val="00112B10"/>
    <w:rsid w:val="00115CBD"/>
    <w:rsid w:val="0012119B"/>
    <w:rsid w:val="00125063"/>
    <w:rsid w:val="00127A2A"/>
    <w:rsid w:val="00132D36"/>
    <w:rsid w:val="00133534"/>
    <w:rsid w:val="00135555"/>
    <w:rsid w:val="001403CE"/>
    <w:rsid w:val="001411AF"/>
    <w:rsid w:val="0014289A"/>
    <w:rsid w:val="00147BF9"/>
    <w:rsid w:val="00150CFF"/>
    <w:rsid w:val="00155786"/>
    <w:rsid w:val="0016718A"/>
    <w:rsid w:val="001674A6"/>
    <w:rsid w:val="00167DA6"/>
    <w:rsid w:val="00171C83"/>
    <w:rsid w:val="001722A1"/>
    <w:rsid w:val="001727A0"/>
    <w:rsid w:val="00173C95"/>
    <w:rsid w:val="00180DA6"/>
    <w:rsid w:val="00181973"/>
    <w:rsid w:val="00184A48"/>
    <w:rsid w:val="0018576F"/>
    <w:rsid w:val="00186B9D"/>
    <w:rsid w:val="00192A84"/>
    <w:rsid w:val="001952D1"/>
    <w:rsid w:val="00195763"/>
    <w:rsid w:val="001A12C7"/>
    <w:rsid w:val="001A36D8"/>
    <w:rsid w:val="001A624F"/>
    <w:rsid w:val="001B23CF"/>
    <w:rsid w:val="001B4292"/>
    <w:rsid w:val="001B6758"/>
    <w:rsid w:val="001C6C8A"/>
    <w:rsid w:val="001D28FA"/>
    <w:rsid w:val="001E04EA"/>
    <w:rsid w:val="001E10E0"/>
    <w:rsid w:val="001E3B2B"/>
    <w:rsid w:val="001E420A"/>
    <w:rsid w:val="001E5707"/>
    <w:rsid w:val="001E644C"/>
    <w:rsid w:val="001F60F6"/>
    <w:rsid w:val="001F6736"/>
    <w:rsid w:val="0020771D"/>
    <w:rsid w:val="00217F72"/>
    <w:rsid w:val="00223E48"/>
    <w:rsid w:val="00225401"/>
    <w:rsid w:val="00226FBE"/>
    <w:rsid w:val="00233C77"/>
    <w:rsid w:val="002374BF"/>
    <w:rsid w:val="002417A5"/>
    <w:rsid w:val="0025203B"/>
    <w:rsid w:val="00252ABF"/>
    <w:rsid w:val="00254BA4"/>
    <w:rsid w:val="002553DA"/>
    <w:rsid w:val="00261B49"/>
    <w:rsid w:val="0027484E"/>
    <w:rsid w:val="002822D6"/>
    <w:rsid w:val="0028435A"/>
    <w:rsid w:val="00284867"/>
    <w:rsid w:val="002919C1"/>
    <w:rsid w:val="002A030D"/>
    <w:rsid w:val="002A53F8"/>
    <w:rsid w:val="002A753F"/>
    <w:rsid w:val="002B2DB5"/>
    <w:rsid w:val="002B3B36"/>
    <w:rsid w:val="002B66DC"/>
    <w:rsid w:val="002C2756"/>
    <w:rsid w:val="002C4BC6"/>
    <w:rsid w:val="002D0492"/>
    <w:rsid w:val="002D582E"/>
    <w:rsid w:val="002D77F8"/>
    <w:rsid w:val="002E135E"/>
    <w:rsid w:val="002E1BA7"/>
    <w:rsid w:val="002E4327"/>
    <w:rsid w:val="002E6808"/>
    <w:rsid w:val="002F262E"/>
    <w:rsid w:val="002F6A2E"/>
    <w:rsid w:val="002F750C"/>
    <w:rsid w:val="00303A36"/>
    <w:rsid w:val="00304D52"/>
    <w:rsid w:val="0032013D"/>
    <w:rsid w:val="00326935"/>
    <w:rsid w:val="0032765C"/>
    <w:rsid w:val="00330559"/>
    <w:rsid w:val="00334F8C"/>
    <w:rsid w:val="003354DB"/>
    <w:rsid w:val="00343574"/>
    <w:rsid w:val="00345C2E"/>
    <w:rsid w:val="0035199F"/>
    <w:rsid w:val="003553F9"/>
    <w:rsid w:val="003567CB"/>
    <w:rsid w:val="003779F9"/>
    <w:rsid w:val="003828B0"/>
    <w:rsid w:val="00383E50"/>
    <w:rsid w:val="00385DA7"/>
    <w:rsid w:val="00386BE9"/>
    <w:rsid w:val="00391BFE"/>
    <w:rsid w:val="003A2560"/>
    <w:rsid w:val="003A62E0"/>
    <w:rsid w:val="003B12AA"/>
    <w:rsid w:val="003B21FD"/>
    <w:rsid w:val="003B26F4"/>
    <w:rsid w:val="003B44BC"/>
    <w:rsid w:val="003B7B24"/>
    <w:rsid w:val="003C73C0"/>
    <w:rsid w:val="003C793B"/>
    <w:rsid w:val="003D00C8"/>
    <w:rsid w:val="003D442C"/>
    <w:rsid w:val="003E0D33"/>
    <w:rsid w:val="003E240F"/>
    <w:rsid w:val="003E4938"/>
    <w:rsid w:val="003E7E77"/>
    <w:rsid w:val="003F0767"/>
    <w:rsid w:val="003F1267"/>
    <w:rsid w:val="003F4FED"/>
    <w:rsid w:val="003F502D"/>
    <w:rsid w:val="003F5C11"/>
    <w:rsid w:val="003F70E8"/>
    <w:rsid w:val="003F7237"/>
    <w:rsid w:val="00402794"/>
    <w:rsid w:val="00403C6D"/>
    <w:rsid w:val="004044E5"/>
    <w:rsid w:val="00405FAA"/>
    <w:rsid w:val="00406E09"/>
    <w:rsid w:val="00422AEB"/>
    <w:rsid w:val="00423668"/>
    <w:rsid w:val="004310F1"/>
    <w:rsid w:val="0043190D"/>
    <w:rsid w:val="00432EF3"/>
    <w:rsid w:val="004349E0"/>
    <w:rsid w:val="004376AE"/>
    <w:rsid w:val="00443000"/>
    <w:rsid w:val="004444C2"/>
    <w:rsid w:val="00455701"/>
    <w:rsid w:val="00462E51"/>
    <w:rsid w:val="00464895"/>
    <w:rsid w:val="0047250A"/>
    <w:rsid w:val="00474EF5"/>
    <w:rsid w:val="004876E2"/>
    <w:rsid w:val="00494A35"/>
    <w:rsid w:val="00495CA3"/>
    <w:rsid w:val="004967EC"/>
    <w:rsid w:val="004A6232"/>
    <w:rsid w:val="004B25FC"/>
    <w:rsid w:val="004B28CC"/>
    <w:rsid w:val="004B37CE"/>
    <w:rsid w:val="004B4663"/>
    <w:rsid w:val="004C303E"/>
    <w:rsid w:val="004C3E0A"/>
    <w:rsid w:val="004C59A7"/>
    <w:rsid w:val="004C76D7"/>
    <w:rsid w:val="004D03CA"/>
    <w:rsid w:val="004D0883"/>
    <w:rsid w:val="004D2B76"/>
    <w:rsid w:val="004D4611"/>
    <w:rsid w:val="004D6AD3"/>
    <w:rsid w:val="004E26C9"/>
    <w:rsid w:val="004F591C"/>
    <w:rsid w:val="004F6584"/>
    <w:rsid w:val="004F6BD9"/>
    <w:rsid w:val="005007AA"/>
    <w:rsid w:val="00501FF7"/>
    <w:rsid w:val="00507369"/>
    <w:rsid w:val="00507A71"/>
    <w:rsid w:val="0051147B"/>
    <w:rsid w:val="005142F4"/>
    <w:rsid w:val="00515C0D"/>
    <w:rsid w:val="00521C5C"/>
    <w:rsid w:val="00521E6B"/>
    <w:rsid w:val="00522C3F"/>
    <w:rsid w:val="00525751"/>
    <w:rsid w:val="0053096D"/>
    <w:rsid w:val="00531C3F"/>
    <w:rsid w:val="00540818"/>
    <w:rsid w:val="00544E3D"/>
    <w:rsid w:val="00544FA5"/>
    <w:rsid w:val="00547A22"/>
    <w:rsid w:val="00560A0E"/>
    <w:rsid w:val="005619A2"/>
    <w:rsid w:val="00575E97"/>
    <w:rsid w:val="00576891"/>
    <w:rsid w:val="00582082"/>
    <w:rsid w:val="00584408"/>
    <w:rsid w:val="00586A20"/>
    <w:rsid w:val="00587B3B"/>
    <w:rsid w:val="00590113"/>
    <w:rsid w:val="00590A06"/>
    <w:rsid w:val="005927C2"/>
    <w:rsid w:val="005A035F"/>
    <w:rsid w:val="005A05AC"/>
    <w:rsid w:val="005A1F18"/>
    <w:rsid w:val="005A3200"/>
    <w:rsid w:val="005A3A39"/>
    <w:rsid w:val="005A4B7B"/>
    <w:rsid w:val="005A6A25"/>
    <w:rsid w:val="005B2B15"/>
    <w:rsid w:val="005C6B48"/>
    <w:rsid w:val="005D0A3C"/>
    <w:rsid w:val="005E25B5"/>
    <w:rsid w:val="005E4D97"/>
    <w:rsid w:val="005E50DC"/>
    <w:rsid w:val="005E5832"/>
    <w:rsid w:val="005F41CC"/>
    <w:rsid w:val="0061269A"/>
    <w:rsid w:val="00622E86"/>
    <w:rsid w:val="006233AC"/>
    <w:rsid w:val="006252DA"/>
    <w:rsid w:val="00625F92"/>
    <w:rsid w:val="00626EEE"/>
    <w:rsid w:val="006277BD"/>
    <w:rsid w:val="00634118"/>
    <w:rsid w:val="00634EE4"/>
    <w:rsid w:val="00635782"/>
    <w:rsid w:val="006368D1"/>
    <w:rsid w:val="006511E4"/>
    <w:rsid w:val="006525DA"/>
    <w:rsid w:val="006527D0"/>
    <w:rsid w:val="00652DA2"/>
    <w:rsid w:val="00652F03"/>
    <w:rsid w:val="00654154"/>
    <w:rsid w:val="00654E58"/>
    <w:rsid w:val="006552D0"/>
    <w:rsid w:val="0065756F"/>
    <w:rsid w:val="00661695"/>
    <w:rsid w:val="006653F1"/>
    <w:rsid w:val="00666632"/>
    <w:rsid w:val="00671D92"/>
    <w:rsid w:val="00672C6B"/>
    <w:rsid w:val="00673377"/>
    <w:rsid w:val="00675627"/>
    <w:rsid w:val="00684C02"/>
    <w:rsid w:val="00691516"/>
    <w:rsid w:val="0069238B"/>
    <w:rsid w:val="00692EC0"/>
    <w:rsid w:val="00694D8B"/>
    <w:rsid w:val="006A24E5"/>
    <w:rsid w:val="006A2C18"/>
    <w:rsid w:val="006A317F"/>
    <w:rsid w:val="006A32AF"/>
    <w:rsid w:val="006A779C"/>
    <w:rsid w:val="006B02D1"/>
    <w:rsid w:val="006B14EE"/>
    <w:rsid w:val="006B21D5"/>
    <w:rsid w:val="006B369D"/>
    <w:rsid w:val="006C0EC0"/>
    <w:rsid w:val="006C10BC"/>
    <w:rsid w:val="006C1235"/>
    <w:rsid w:val="006C5E7F"/>
    <w:rsid w:val="006C6DFC"/>
    <w:rsid w:val="006C7FB6"/>
    <w:rsid w:val="006E0B1F"/>
    <w:rsid w:val="006E2A79"/>
    <w:rsid w:val="006E4E56"/>
    <w:rsid w:val="006F06E0"/>
    <w:rsid w:val="006F4264"/>
    <w:rsid w:val="006F5F3B"/>
    <w:rsid w:val="006F7478"/>
    <w:rsid w:val="006F7BD2"/>
    <w:rsid w:val="00701B4F"/>
    <w:rsid w:val="00703165"/>
    <w:rsid w:val="00710630"/>
    <w:rsid w:val="00710EA5"/>
    <w:rsid w:val="00710F2A"/>
    <w:rsid w:val="0071272A"/>
    <w:rsid w:val="007227EB"/>
    <w:rsid w:val="00725433"/>
    <w:rsid w:val="007343ED"/>
    <w:rsid w:val="0074099A"/>
    <w:rsid w:val="00741D0A"/>
    <w:rsid w:val="007422B0"/>
    <w:rsid w:val="007466AF"/>
    <w:rsid w:val="00750FEB"/>
    <w:rsid w:val="00752ABE"/>
    <w:rsid w:val="00753B0C"/>
    <w:rsid w:val="00755DDE"/>
    <w:rsid w:val="007570F2"/>
    <w:rsid w:val="00761D1C"/>
    <w:rsid w:val="00764649"/>
    <w:rsid w:val="007721D0"/>
    <w:rsid w:val="00772980"/>
    <w:rsid w:val="00772DF1"/>
    <w:rsid w:val="007743FE"/>
    <w:rsid w:val="00790941"/>
    <w:rsid w:val="00795F9C"/>
    <w:rsid w:val="00797CF8"/>
    <w:rsid w:val="007A34EF"/>
    <w:rsid w:val="007A6276"/>
    <w:rsid w:val="007B4142"/>
    <w:rsid w:val="007B4F9A"/>
    <w:rsid w:val="007B6A8B"/>
    <w:rsid w:val="007C3FE1"/>
    <w:rsid w:val="007E0F76"/>
    <w:rsid w:val="007F1E48"/>
    <w:rsid w:val="007F36B3"/>
    <w:rsid w:val="007F3EAA"/>
    <w:rsid w:val="007F788F"/>
    <w:rsid w:val="0080429E"/>
    <w:rsid w:val="00810DBB"/>
    <w:rsid w:val="008113EC"/>
    <w:rsid w:val="00812C46"/>
    <w:rsid w:val="0081380C"/>
    <w:rsid w:val="008202EA"/>
    <w:rsid w:val="00822059"/>
    <w:rsid w:val="0082567A"/>
    <w:rsid w:val="00831196"/>
    <w:rsid w:val="0083209A"/>
    <w:rsid w:val="00832DA1"/>
    <w:rsid w:val="00833C77"/>
    <w:rsid w:val="00836BFC"/>
    <w:rsid w:val="008405A1"/>
    <w:rsid w:val="008408BE"/>
    <w:rsid w:val="008412E2"/>
    <w:rsid w:val="0084529B"/>
    <w:rsid w:val="0084711B"/>
    <w:rsid w:val="00847184"/>
    <w:rsid w:val="00850EE7"/>
    <w:rsid w:val="00856C8F"/>
    <w:rsid w:val="008625DE"/>
    <w:rsid w:val="00864684"/>
    <w:rsid w:val="0086792F"/>
    <w:rsid w:val="008701E5"/>
    <w:rsid w:val="00870B7A"/>
    <w:rsid w:val="00874DC8"/>
    <w:rsid w:val="00875B4D"/>
    <w:rsid w:val="008766B9"/>
    <w:rsid w:val="00876B0D"/>
    <w:rsid w:val="008776D7"/>
    <w:rsid w:val="00877851"/>
    <w:rsid w:val="00882049"/>
    <w:rsid w:val="00882AB2"/>
    <w:rsid w:val="00885950"/>
    <w:rsid w:val="00891470"/>
    <w:rsid w:val="00891F56"/>
    <w:rsid w:val="008A6ADB"/>
    <w:rsid w:val="008A7042"/>
    <w:rsid w:val="008A716D"/>
    <w:rsid w:val="008A7DEE"/>
    <w:rsid w:val="008B3923"/>
    <w:rsid w:val="008B6E6B"/>
    <w:rsid w:val="008D79B3"/>
    <w:rsid w:val="008E207F"/>
    <w:rsid w:val="008E21FE"/>
    <w:rsid w:val="008E270D"/>
    <w:rsid w:val="008E4EB7"/>
    <w:rsid w:val="008F1C73"/>
    <w:rsid w:val="008F206A"/>
    <w:rsid w:val="008F4406"/>
    <w:rsid w:val="008F6FD5"/>
    <w:rsid w:val="00902FEC"/>
    <w:rsid w:val="0090513D"/>
    <w:rsid w:val="0090671F"/>
    <w:rsid w:val="00910A08"/>
    <w:rsid w:val="00910D46"/>
    <w:rsid w:val="0091651F"/>
    <w:rsid w:val="00931286"/>
    <w:rsid w:val="009362C4"/>
    <w:rsid w:val="009368B9"/>
    <w:rsid w:val="009412F3"/>
    <w:rsid w:val="00947F2D"/>
    <w:rsid w:val="0097181B"/>
    <w:rsid w:val="00972EA9"/>
    <w:rsid w:val="00982656"/>
    <w:rsid w:val="00983B7C"/>
    <w:rsid w:val="009844CC"/>
    <w:rsid w:val="009847F9"/>
    <w:rsid w:val="0098602D"/>
    <w:rsid w:val="0099635B"/>
    <w:rsid w:val="009A0B27"/>
    <w:rsid w:val="009A1061"/>
    <w:rsid w:val="009A17FE"/>
    <w:rsid w:val="009A57C5"/>
    <w:rsid w:val="009B07BA"/>
    <w:rsid w:val="009B545E"/>
    <w:rsid w:val="009B56FA"/>
    <w:rsid w:val="009B6D4C"/>
    <w:rsid w:val="009C14D3"/>
    <w:rsid w:val="009C3D92"/>
    <w:rsid w:val="009C4D45"/>
    <w:rsid w:val="009C55CE"/>
    <w:rsid w:val="009D17BD"/>
    <w:rsid w:val="009D3090"/>
    <w:rsid w:val="009D40A1"/>
    <w:rsid w:val="009E34F0"/>
    <w:rsid w:val="009E3F7B"/>
    <w:rsid w:val="009E543B"/>
    <w:rsid w:val="009E6A30"/>
    <w:rsid w:val="009F09D8"/>
    <w:rsid w:val="009F4566"/>
    <w:rsid w:val="00A0263A"/>
    <w:rsid w:val="00A02919"/>
    <w:rsid w:val="00A043C5"/>
    <w:rsid w:val="00A05F6C"/>
    <w:rsid w:val="00A067E4"/>
    <w:rsid w:val="00A10588"/>
    <w:rsid w:val="00A14386"/>
    <w:rsid w:val="00A22039"/>
    <w:rsid w:val="00A3049E"/>
    <w:rsid w:val="00A332D3"/>
    <w:rsid w:val="00A33B11"/>
    <w:rsid w:val="00A46000"/>
    <w:rsid w:val="00A51B55"/>
    <w:rsid w:val="00A51BCE"/>
    <w:rsid w:val="00A54318"/>
    <w:rsid w:val="00A56412"/>
    <w:rsid w:val="00A6054B"/>
    <w:rsid w:val="00A616BF"/>
    <w:rsid w:val="00A62204"/>
    <w:rsid w:val="00A65B44"/>
    <w:rsid w:val="00A67538"/>
    <w:rsid w:val="00A7037E"/>
    <w:rsid w:val="00A7042D"/>
    <w:rsid w:val="00A732A7"/>
    <w:rsid w:val="00A75D7D"/>
    <w:rsid w:val="00A855B1"/>
    <w:rsid w:val="00A946B8"/>
    <w:rsid w:val="00A95621"/>
    <w:rsid w:val="00AA31B4"/>
    <w:rsid w:val="00AB0E08"/>
    <w:rsid w:val="00AB3871"/>
    <w:rsid w:val="00AC7F8F"/>
    <w:rsid w:val="00AD0C8E"/>
    <w:rsid w:val="00AD52A5"/>
    <w:rsid w:val="00AE10C1"/>
    <w:rsid w:val="00AE43E6"/>
    <w:rsid w:val="00AF069C"/>
    <w:rsid w:val="00B0014A"/>
    <w:rsid w:val="00B01916"/>
    <w:rsid w:val="00B047B9"/>
    <w:rsid w:val="00B05B3E"/>
    <w:rsid w:val="00B07370"/>
    <w:rsid w:val="00B1157E"/>
    <w:rsid w:val="00B13110"/>
    <w:rsid w:val="00B13C21"/>
    <w:rsid w:val="00B13E2C"/>
    <w:rsid w:val="00B175DB"/>
    <w:rsid w:val="00B176D6"/>
    <w:rsid w:val="00B176E5"/>
    <w:rsid w:val="00B2013B"/>
    <w:rsid w:val="00B2242E"/>
    <w:rsid w:val="00B22AC6"/>
    <w:rsid w:val="00B269BA"/>
    <w:rsid w:val="00B30FD4"/>
    <w:rsid w:val="00B3347B"/>
    <w:rsid w:val="00B35992"/>
    <w:rsid w:val="00B4670F"/>
    <w:rsid w:val="00B51427"/>
    <w:rsid w:val="00B519D2"/>
    <w:rsid w:val="00B544A0"/>
    <w:rsid w:val="00B5456C"/>
    <w:rsid w:val="00B60464"/>
    <w:rsid w:val="00B706AD"/>
    <w:rsid w:val="00B72282"/>
    <w:rsid w:val="00B76F4F"/>
    <w:rsid w:val="00B809EF"/>
    <w:rsid w:val="00B84B77"/>
    <w:rsid w:val="00B867D3"/>
    <w:rsid w:val="00B908A1"/>
    <w:rsid w:val="00B91BD7"/>
    <w:rsid w:val="00B93454"/>
    <w:rsid w:val="00B935B8"/>
    <w:rsid w:val="00B950FE"/>
    <w:rsid w:val="00B976D8"/>
    <w:rsid w:val="00BA017A"/>
    <w:rsid w:val="00BB048B"/>
    <w:rsid w:val="00BB1B01"/>
    <w:rsid w:val="00BB1BB7"/>
    <w:rsid w:val="00BB1DE8"/>
    <w:rsid w:val="00BB3F93"/>
    <w:rsid w:val="00BB45CA"/>
    <w:rsid w:val="00BB59BF"/>
    <w:rsid w:val="00BB78CA"/>
    <w:rsid w:val="00BC4FE3"/>
    <w:rsid w:val="00BD2711"/>
    <w:rsid w:val="00BD3D60"/>
    <w:rsid w:val="00BD6465"/>
    <w:rsid w:val="00BE0F51"/>
    <w:rsid w:val="00BE49A0"/>
    <w:rsid w:val="00BE7FE5"/>
    <w:rsid w:val="00BF07C1"/>
    <w:rsid w:val="00BF2585"/>
    <w:rsid w:val="00BF324F"/>
    <w:rsid w:val="00BF4D99"/>
    <w:rsid w:val="00C01A5B"/>
    <w:rsid w:val="00C02420"/>
    <w:rsid w:val="00C10DA0"/>
    <w:rsid w:val="00C23E28"/>
    <w:rsid w:val="00C24236"/>
    <w:rsid w:val="00C27CA5"/>
    <w:rsid w:val="00C300C1"/>
    <w:rsid w:val="00C31287"/>
    <w:rsid w:val="00C32994"/>
    <w:rsid w:val="00C351B6"/>
    <w:rsid w:val="00C35ACC"/>
    <w:rsid w:val="00C368F4"/>
    <w:rsid w:val="00C435FA"/>
    <w:rsid w:val="00C4415A"/>
    <w:rsid w:val="00C446FA"/>
    <w:rsid w:val="00C462C8"/>
    <w:rsid w:val="00C52A64"/>
    <w:rsid w:val="00C52C66"/>
    <w:rsid w:val="00C56DFD"/>
    <w:rsid w:val="00C57AF0"/>
    <w:rsid w:val="00C62E75"/>
    <w:rsid w:val="00C66788"/>
    <w:rsid w:val="00C76919"/>
    <w:rsid w:val="00C818C9"/>
    <w:rsid w:val="00C81FFC"/>
    <w:rsid w:val="00C837DD"/>
    <w:rsid w:val="00C9019A"/>
    <w:rsid w:val="00C9470D"/>
    <w:rsid w:val="00CA63E7"/>
    <w:rsid w:val="00CB6178"/>
    <w:rsid w:val="00CB6E14"/>
    <w:rsid w:val="00CB7864"/>
    <w:rsid w:val="00CC134B"/>
    <w:rsid w:val="00CC4B2D"/>
    <w:rsid w:val="00CD0817"/>
    <w:rsid w:val="00CD2EF7"/>
    <w:rsid w:val="00CD6D92"/>
    <w:rsid w:val="00CE2F73"/>
    <w:rsid w:val="00CE3910"/>
    <w:rsid w:val="00CE53B3"/>
    <w:rsid w:val="00CE614C"/>
    <w:rsid w:val="00CE773B"/>
    <w:rsid w:val="00CF1A21"/>
    <w:rsid w:val="00CF421F"/>
    <w:rsid w:val="00CF6A5F"/>
    <w:rsid w:val="00D01926"/>
    <w:rsid w:val="00D0243B"/>
    <w:rsid w:val="00D06DE9"/>
    <w:rsid w:val="00D1020F"/>
    <w:rsid w:val="00D11CDB"/>
    <w:rsid w:val="00D140BC"/>
    <w:rsid w:val="00D1414F"/>
    <w:rsid w:val="00D14B5E"/>
    <w:rsid w:val="00D151DB"/>
    <w:rsid w:val="00D173FD"/>
    <w:rsid w:val="00D22AB6"/>
    <w:rsid w:val="00D23243"/>
    <w:rsid w:val="00D2423A"/>
    <w:rsid w:val="00D302C8"/>
    <w:rsid w:val="00D3032A"/>
    <w:rsid w:val="00D31E04"/>
    <w:rsid w:val="00D33E91"/>
    <w:rsid w:val="00D419D0"/>
    <w:rsid w:val="00D50717"/>
    <w:rsid w:val="00D512C1"/>
    <w:rsid w:val="00D57421"/>
    <w:rsid w:val="00D61C32"/>
    <w:rsid w:val="00D7012A"/>
    <w:rsid w:val="00D73676"/>
    <w:rsid w:val="00D77F32"/>
    <w:rsid w:val="00D82EA5"/>
    <w:rsid w:val="00D83B4F"/>
    <w:rsid w:val="00D872DE"/>
    <w:rsid w:val="00D940B6"/>
    <w:rsid w:val="00D94228"/>
    <w:rsid w:val="00DB1081"/>
    <w:rsid w:val="00DB5FA9"/>
    <w:rsid w:val="00DB743E"/>
    <w:rsid w:val="00DC2AA9"/>
    <w:rsid w:val="00DC41E0"/>
    <w:rsid w:val="00DC6FEC"/>
    <w:rsid w:val="00DD32BA"/>
    <w:rsid w:val="00DE37D9"/>
    <w:rsid w:val="00DE7B1D"/>
    <w:rsid w:val="00DF340F"/>
    <w:rsid w:val="00DF3FEA"/>
    <w:rsid w:val="00DF59A6"/>
    <w:rsid w:val="00DF5C95"/>
    <w:rsid w:val="00DF5EDF"/>
    <w:rsid w:val="00E0245C"/>
    <w:rsid w:val="00E052E1"/>
    <w:rsid w:val="00E05E1A"/>
    <w:rsid w:val="00E067E1"/>
    <w:rsid w:val="00E07063"/>
    <w:rsid w:val="00E07454"/>
    <w:rsid w:val="00E13B2F"/>
    <w:rsid w:val="00E143DC"/>
    <w:rsid w:val="00E204C1"/>
    <w:rsid w:val="00E23734"/>
    <w:rsid w:val="00E317AF"/>
    <w:rsid w:val="00E37251"/>
    <w:rsid w:val="00E425F3"/>
    <w:rsid w:val="00E44CBA"/>
    <w:rsid w:val="00E458EF"/>
    <w:rsid w:val="00E45E6E"/>
    <w:rsid w:val="00E544A2"/>
    <w:rsid w:val="00E565BC"/>
    <w:rsid w:val="00E56C35"/>
    <w:rsid w:val="00E641ED"/>
    <w:rsid w:val="00E707D7"/>
    <w:rsid w:val="00E73A2D"/>
    <w:rsid w:val="00E75EC4"/>
    <w:rsid w:val="00E80E53"/>
    <w:rsid w:val="00E85CC9"/>
    <w:rsid w:val="00E969C4"/>
    <w:rsid w:val="00E96A61"/>
    <w:rsid w:val="00EA1E45"/>
    <w:rsid w:val="00EA3BCB"/>
    <w:rsid w:val="00EA5C83"/>
    <w:rsid w:val="00EA64A1"/>
    <w:rsid w:val="00EB1470"/>
    <w:rsid w:val="00EB1BC9"/>
    <w:rsid w:val="00EB2BEC"/>
    <w:rsid w:val="00EC50FB"/>
    <w:rsid w:val="00EC7821"/>
    <w:rsid w:val="00ED0146"/>
    <w:rsid w:val="00ED2689"/>
    <w:rsid w:val="00ED3EE0"/>
    <w:rsid w:val="00ED49A8"/>
    <w:rsid w:val="00ED535A"/>
    <w:rsid w:val="00ED5901"/>
    <w:rsid w:val="00EF25E2"/>
    <w:rsid w:val="00EF2DB0"/>
    <w:rsid w:val="00EF34A7"/>
    <w:rsid w:val="00EF48F0"/>
    <w:rsid w:val="00EF52E3"/>
    <w:rsid w:val="00EF5510"/>
    <w:rsid w:val="00EF7632"/>
    <w:rsid w:val="00EF79B0"/>
    <w:rsid w:val="00F01947"/>
    <w:rsid w:val="00F05967"/>
    <w:rsid w:val="00F06AF3"/>
    <w:rsid w:val="00F10872"/>
    <w:rsid w:val="00F12916"/>
    <w:rsid w:val="00F1349D"/>
    <w:rsid w:val="00F14E5C"/>
    <w:rsid w:val="00F1549C"/>
    <w:rsid w:val="00F218F9"/>
    <w:rsid w:val="00F21E5F"/>
    <w:rsid w:val="00F312DD"/>
    <w:rsid w:val="00F33811"/>
    <w:rsid w:val="00F42393"/>
    <w:rsid w:val="00F45707"/>
    <w:rsid w:val="00F45D8A"/>
    <w:rsid w:val="00F550A3"/>
    <w:rsid w:val="00F57D94"/>
    <w:rsid w:val="00F667D6"/>
    <w:rsid w:val="00F67FA6"/>
    <w:rsid w:val="00F71058"/>
    <w:rsid w:val="00F721FE"/>
    <w:rsid w:val="00F72600"/>
    <w:rsid w:val="00F7387F"/>
    <w:rsid w:val="00F8717E"/>
    <w:rsid w:val="00F90756"/>
    <w:rsid w:val="00F9094C"/>
    <w:rsid w:val="00F937CD"/>
    <w:rsid w:val="00F9408B"/>
    <w:rsid w:val="00F95811"/>
    <w:rsid w:val="00FA2734"/>
    <w:rsid w:val="00FA3B02"/>
    <w:rsid w:val="00FA463D"/>
    <w:rsid w:val="00FA4CAD"/>
    <w:rsid w:val="00FC292A"/>
    <w:rsid w:val="00FD2126"/>
    <w:rsid w:val="00FD43C0"/>
    <w:rsid w:val="00FD6896"/>
    <w:rsid w:val="00FE10C1"/>
    <w:rsid w:val="00FE2E7E"/>
    <w:rsid w:val="00FE39DC"/>
    <w:rsid w:val="00FE3E2C"/>
    <w:rsid w:val="00FE4DD7"/>
    <w:rsid w:val="00FE54B5"/>
    <w:rsid w:val="00FF0908"/>
    <w:rsid w:val="00FF5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1"/>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1"/>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28119">
      <w:bodyDiv w:val="1"/>
      <w:marLeft w:val="0"/>
      <w:marRight w:val="0"/>
      <w:marTop w:val="0"/>
      <w:marBottom w:val="0"/>
      <w:divBdr>
        <w:top w:val="none" w:sz="0" w:space="0" w:color="auto"/>
        <w:left w:val="none" w:sz="0" w:space="0" w:color="auto"/>
        <w:bottom w:val="none" w:sz="0" w:space="0" w:color="auto"/>
        <w:right w:val="none" w:sz="0" w:space="0" w:color="auto"/>
      </w:divBdr>
    </w:div>
    <w:div w:id="851576360">
      <w:bodyDiv w:val="1"/>
      <w:marLeft w:val="0"/>
      <w:marRight w:val="0"/>
      <w:marTop w:val="0"/>
      <w:marBottom w:val="0"/>
      <w:divBdr>
        <w:top w:val="none" w:sz="0" w:space="0" w:color="auto"/>
        <w:left w:val="none" w:sz="0" w:space="0" w:color="auto"/>
        <w:bottom w:val="none" w:sz="0" w:space="0" w:color="auto"/>
        <w:right w:val="none" w:sz="0" w:space="0" w:color="auto"/>
      </w:divBdr>
    </w:div>
    <w:div w:id="871839820">
      <w:bodyDiv w:val="1"/>
      <w:marLeft w:val="0"/>
      <w:marRight w:val="0"/>
      <w:marTop w:val="0"/>
      <w:marBottom w:val="0"/>
      <w:divBdr>
        <w:top w:val="none" w:sz="0" w:space="0" w:color="auto"/>
        <w:left w:val="none" w:sz="0" w:space="0" w:color="auto"/>
        <w:bottom w:val="none" w:sz="0" w:space="0" w:color="auto"/>
        <w:right w:val="none" w:sz="0" w:space="0" w:color="auto"/>
      </w:divBdr>
    </w:div>
    <w:div w:id="1232888484">
      <w:bodyDiv w:val="1"/>
      <w:marLeft w:val="0"/>
      <w:marRight w:val="0"/>
      <w:marTop w:val="0"/>
      <w:marBottom w:val="0"/>
      <w:divBdr>
        <w:top w:val="none" w:sz="0" w:space="0" w:color="auto"/>
        <w:left w:val="none" w:sz="0" w:space="0" w:color="auto"/>
        <w:bottom w:val="none" w:sz="0" w:space="0" w:color="auto"/>
        <w:right w:val="none" w:sz="0" w:space="0" w:color="auto"/>
      </w:divBdr>
    </w:div>
    <w:div w:id="1411854370">
      <w:bodyDiv w:val="1"/>
      <w:marLeft w:val="0"/>
      <w:marRight w:val="0"/>
      <w:marTop w:val="0"/>
      <w:marBottom w:val="0"/>
      <w:divBdr>
        <w:top w:val="none" w:sz="0" w:space="0" w:color="auto"/>
        <w:left w:val="none" w:sz="0" w:space="0" w:color="auto"/>
        <w:bottom w:val="none" w:sz="0" w:space="0" w:color="auto"/>
        <w:right w:val="none" w:sz="0" w:space="0" w:color="auto"/>
      </w:divBdr>
    </w:div>
    <w:div w:id="1630939711">
      <w:bodyDiv w:val="1"/>
      <w:marLeft w:val="0"/>
      <w:marRight w:val="0"/>
      <w:marTop w:val="0"/>
      <w:marBottom w:val="0"/>
      <w:divBdr>
        <w:top w:val="none" w:sz="0" w:space="0" w:color="auto"/>
        <w:left w:val="none" w:sz="0" w:space="0" w:color="auto"/>
        <w:bottom w:val="none" w:sz="0" w:space="0" w:color="auto"/>
        <w:right w:val="none" w:sz="0" w:space="0" w:color="auto"/>
      </w:divBdr>
    </w:div>
    <w:div w:id="164832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AC826E8FC01349BE8AF9B6923EAC51" ma:contentTypeVersion="11" ma:contentTypeDescription="Create a new document." ma:contentTypeScope="" ma:versionID="64ff0548a7339fa0fe3f18757dd35b66">
  <xsd:schema xmlns:xsd="http://www.w3.org/2001/XMLSchema" xmlns:xs="http://www.w3.org/2001/XMLSchema" xmlns:p="http://schemas.microsoft.com/office/2006/metadata/properties" xmlns:ns2="52f53472-72d6-42af-993e-8eae5ea89d63" xmlns:ns3="6027d210-d013-4c48-adf9-3447dca712d5" targetNamespace="http://schemas.microsoft.com/office/2006/metadata/properties" ma:root="true" ma:fieldsID="d47890ec4cfbb0fc5ca51d4d3906dbed" ns2:_="" ns3:_="">
    <xsd:import namespace="52f53472-72d6-42af-993e-8eae5ea89d63"/>
    <xsd:import namespace="6027d210-d013-4c48-adf9-3447dca712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53472-72d6-42af-993e-8eae5ea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d210-d013-4c48-adf9-3447dca712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1173d878-a7f2-45cc-a3f5-d6ed21f7c1bc" ContentTypeId="0x010100A4F94509463A4443B66847FE0D2AEE25" PreviousValue="false"/>
</file>

<file path=customXml/itemProps1.xml><?xml version="1.0" encoding="utf-8"?>
<ds:datastoreItem xmlns:ds="http://schemas.openxmlformats.org/officeDocument/2006/customXml" ds:itemID="{035A0998-CAFC-479C-A128-80CBC6310B8B}">
  <ds:schemaRefs>
    <ds:schemaRef ds:uri="http://schemas.microsoft.com/office/2006/metadata/longProperties"/>
  </ds:schemaRefs>
</ds:datastoreItem>
</file>

<file path=customXml/itemProps2.xml><?xml version="1.0" encoding="utf-8"?>
<ds:datastoreItem xmlns:ds="http://schemas.openxmlformats.org/officeDocument/2006/customXml" ds:itemID="{7E5D1C63-FB0B-422F-9358-5B9AE37D51E2}">
  <ds:schemaRefs>
    <ds:schemaRef ds:uri="http://schemas.microsoft.com/sharepoint/v3/contenttype/forms"/>
  </ds:schemaRefs>
</ds:datastoreItem>
</file>

<file path=customXml/itemProps3.xml><?xml version="1.0" encoding="utf-8"?>
<ds:datastoreItem xmlns:ds="http://schemas.openxmlformats.org/officeDocument/2006/customXml" ds:itemID="{9759D2E0-1CCC-4D98-B2D1-8BCFE5888EB2}"/>
</file>

<file path=customXml/itemProps4.xml><?xml version="1.0" encoding="utf-8"?>
<ds:datastoreItem xmlns:ds="http://schemas.openxmlformats.org/officeDocument/2006/customXml" ds:itemID="{C00B9EDD-4338-4019-9AB0-1CB5B697C98F}">
  <ds:schemaRefs>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purl.org/dc/elements/1.1/"/>
    <ds:schemaRef ds:uri="http://purl.org/dc/terms/"/>
    <ds:schemaRef ds:uri="e887f2dc-4e4e-436f-8fc9-1ce5bbc2a867"/>
    <ds:schemaRef ds:uri="0b8a22d5-5f43-4d1a-a8c3-4165b374ecfc"/>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2478269F-FECD-4DD9-93A9-56E634CF353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F7138565</Template>
  <TotalTime>0</TotalTime>
  <Pages>4</Pages>
  <Words>991</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UK A4 portrait logo top template</vt:lpstr>
    </vt:vector>
  </TitlesOfParts>
  <Company>ING BARINGS</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A4 portrait logo top template</dc:title>
  <dc:creator>Kevin Miller</dc:creator>
  <cp:lastModifiedBy>Cosmas Woyo</cp:lastModifiedBy>
  <cp:revision>28</cp:revision>
  <cp:lastPrinted>2016-12-15T12:19:00Z</cp:lastPrinted>
  <dcterms:created xsi:type="dcterms:W3CDTF">2016-12-13T09:37:00Z</dcterms:created>
  <dcterms:modified xsi:type="dcterms:W3CDTF">2017-02-08T17:06:00Z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Document_x0020_Owner">
    <vt:lpwstr>Jon Labram</vt:lpwstr>
  </property>
  <property fmtid="{D5CDD505-2E9C-101B-9397-08002B2CF9AE}" pid="3" name="ContentTypeId">
    <vt:lpwstr>0x01010085AC826E8FC01349BE8AF9B6923EAC51</vt:lpwstr>
  </property>
</Properties>
</file>