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11" w:rsidRPr="00576471" w:rsidRDefault="00EA3BCB" w:rsidP="00552CC5">
      <w:pPr>
        <w:pStyle w:val="Heading1"/>
        <w:numPr>
          <w:ilvl w:val="0"/>
          <w:numId w:val="47"/>
        </w:numPr>
        <w:rPr>
          <w:rFonts w:ascii="Verdana" w:hAnsi="Verdana"/>
          <w:b/>
          <w:color w:val="C00000"/>
          <w:sz w:val="20"/>
        </w:rPr>
      </w:pPr>
      <w:bookmarkStart w:id="0" w:name="_Toc493250522"/>
      <w:r w:rsidRPr="00576471">
        <w:rPr>
          <w:rFonts w:ascii="Verdana" w:hAnsi="Verdana"/>
          <w:b/>
          <w:color w:val="C00000"/>
          <w:sz w:val="20"/>
        </w:rPr>
        <w:t xml:space="preserve">Process </w:t>
      </w:r>
      <w:r w:rsidR="005E1A85" w:rsidRPr="00576471">
        <w:rPr>
          <w:rFonts w:ascii="Verdana" w:hAnsi="Verdana"/>
          <w:b/>
          <w:color w:val="C00000"/>
          <w:sz w:val="20"/>
        </w:rPr>
        <w:t>O</w:t>
      </w:r>
      <w:r w:rsidRPr="00576471">
        <w:rPr>
          <w:rFonts w:ascii="Verdana" w:hAnsi="Verdana"/>
          <w:b/>
          <w:color w:val="C00000"/>
          <w:sz w:val="20"/>
        </w:rPr>
        <w:t>verview</w:t>
      </w:r>
      <w:bookmarkEnd w:id="0"/>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1985"/>
        <w:gridCol w:w="6946"/>
      </w:tblGrid>
      <w:tr w:rsidR="00EA3BCB" w:rsidRPr="00D02053" w:rsidTr="009E524B">
        <w:tc>
          <w:tcPr>
            <w:tcW w:w="1985"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D02053" w:rsidRDefault="00EA3BCB" w:rsidP="00302505">
            <w:pPr>
              <w:jc w:val="both"/>
              <w:rPr>
                <w:b/>
                <w:color w:val="auto"/>
              </w:rPr>
            </w:pPr>
          </w:p>
        </w:tc>
        <w:tc>
          <w:tcPr>
            <w:tcW w:w="6946"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D02053" w:rsidRDefault="00EA3BCB" w:rsidP="00302505">
            <w:pPr>
              <w:jc w:val="both"/>
              <w:rPr>
                <w:b/>
                <w:color w:val="auto"/>
              </w:rPr>
            </w:pPr>
            <w:r w:rsidRPr="00D02053">
              <w:rPr>
                <w:b/>
                <w:color w:val="auto"/>
              </w:rPr>
              <w:t>Summary Details</w:t>
            </w:r>
          </w:p>
          <w:p w:rsidR="00EA3BCB" w:rsidRPr="00D02053" w:rsidRDefault="00EA3BCB" w:rsidP="00302505">
            <w:pPr>
              <w:jc w:val="both"/>
              <w:rPr>
                <w:b/>
                <w:color w:val="auto"/>
              </w:rPr>
            </w:pPr>
          </w:p>
        </w:tc>
      </w:tr>
      <w:tr w:rsidR="00EA3BCB" w:rsidRPr="00D02053" w:rsidTr="009E524B">
        <w:tc>
          <w:tcPr>
            <w:tcW w:w="1985" w:type="dxa"/>
            <w:tcBorders>
              <w:top w:val="single" w:sz="6" w:space="0" w:color="666666"/>
              <w:left w:val="single" w:sz="6" w:space="0" w:color="666666"/>
              <w:bottom w:val="nil"/>
              <w:right w:val="single" w:sz="6" w:space="0" w:color="666666"/>
              <w:tl2br w:val="nil"/>
              <w:tr2bl w:val="nil"/>
            </w:tcBorders>
            <w:shd w:val="clear" w:color="auto" w:fill="F2F2F2" w:themeFill="background1" w:themeFillShade="F2"/>
          </w:tcPr>
          <w:p w:rsidR="00EA3BCB" w:rsidRPr="00D02053" w:rsidRDefault="00EA3BCB" w:rsidP="00302505">
            <w:pPr>
              <w:jc w:val="both"/>
              <w:rPr>
                <w:b/>
                <w:color w:val="auto"/>
              </w:rPr>
            </w:pPr>
            <w:r w:rsidRPr="00D02053">
              <w:rPr>
                <w:b/>
                <w:color w:val="auto"/>
              </w:rPr>
              <w:t>Process Name</w:t>
            </w:r>
          </w:p>
        </w:tc>
        <w:tc>
          <w:tcPr>
            <w:tcW w:w="6946" w:type="dxa"/>
            <w:shd w:val="clear" w:color="auto" w:fill="FFFFFF" w:themeFill="background1"/>
          </w:tcPr>
          <w:p w:rsidR="00EA3BCB" w:rsidRPr="00664D40" w:rsidRDefault="00A74B51" w:rsidP="00A35D68">
            <w:pPr>
              <w:jc w:val="both"/>
              <w:rPr>
                <w:color w:val="auto"/>
                <w:szCs w:val="18"/>
              </w:rPr>
            </w:pPr>
            <w:r>
              <w:rPr>
                <w:color w:val="auto"/>
                <w:szCs w:val="18"/>
              </w:rPr>
              <w:t>Regulatory Reporting</w:t>
            </w:r>
            <w:r w:rsidR="00EC1216" w:rsidRPr="00664D40">
              <w:rPr>
                <w:color w:val="auto"/>
                <w:szCs w:val="18"/>
              </w:rPr>
              <w:t xml:space="preserve"> </w:t>
            </w:r>
          </w:p>
        </w:tc>
      </w:tr>
      <w:tr w:rsidR="00403C6D" w:rsidRPr="00576471" w:rsidTr="009E524B">
        <w:tc>
          <w:tcPr>
            <w:tcW w:w="1985" w:type="dxa"/>
            <w:tcBorders>
              <w:left w:val="single" w:sz="6" w:space="0" w:color="666666"/>
              <w:right w:val="single" w:sz="6" w:space="0" w:color="666666"/>
              <w:tl2br w:val="nil"/>
              <w:tr2bl w:val="nil"/>
            </w:tcBorders>
            <w:shd w:val="clear" w:color="auto" w:fill="F2F2F2" w:themeFill="background1" w:themeFillShade="F2"/>
          </w:tcPr>
          <w:p w:rsidR="00403C6D" w:rsidRPr="00D02053" w:rsidRDefault="00403C6D" w:rsidP="00302505">
            <w:pPr>
              <w:jc w:val="both"/>
              <w:rPr>
                <w:b/>
                <w:color w:val="auto"/>
              </w:rPr>
            </w:pPr>
            <w:r w:rsidRPr="00D02053">
              <w:rPr>
                <w:b/>
                <w:color w:val="auto"/>
              </w:rPr>
              <w:t>Process Owner</w:t>
            </w:r>
            <w:r w:rsidR="00576471">
              <w:rPr>
                <w:b/>
                <w:color w:val="auto"/>
              </w:rPr>
              <w:t>(s)</w:t>
            </w:r>
          </w:p>
        </w:tc>
        <w:tc>
          <w:tcPr>
            <w:tcW w:w="6946" w:type="dxa"/>
          </w:tcPr>
          <w:p w:rsidR="00B827C7" w:rsidRPr="00B827C7" w:rsidRDefault="00B827C7" w:rsidP="00A35D68">
            <w:pPr>
              <w:jc w:val="both"/>
              <w:rPr>
                <w:color w:val="auto"/>
                <w:szCs w:val="18"/>
              </w:rPr>
            </w:pPr>
            <w:r w:rsidRPr="009C7F15">
              <w:rPr>
                <w:color w:val="auto"/>
              </w:rPr>
              <w:t>Regulatory Reporting Manager</w:t>
            </w:r>
            <w:r>
              <w:rPr>
                <w:color w:val="auto"/>
              </w:rPr>
              <w:t>-</w:t>
            </w:r>
            <w:r w:rsidRPr="009C7F15">
              <w:rPr>
                <w:color w:val="auto"/>
              </w:rPr>
              <w:t>Rizwan Kermali</w:t>
            </w:r>
          </w:p>
          <w:p w:rsidR="00403C6D" w:rsidRDefault="00305EF4" w:rsidP="00A35D68">
            <w:pPr>
              <w:jc w:val="both"/>
              <w:rPr>
                <w:color w:val="auto"/>
                <w:szCs w:val="18"/>
                <w:lang w:val="fr-FR"/>
              </w:rPr>
            </w:pPr>
            <w:proofErr w:type="spellStart"/>
            <w:r>
              <w:rPr>
                <w:color w:val="auto"/>
                <w:szCs w:val="18"/>
                <w:lang w:val="fr-FR"/>
              </w:rPr>
              <w:t>Syndicate</w:t>
            </w:r>
            <w:proofErr w:type="spellEnd"/>
            <w:r>
              <w:rPr>
                <w:color w:val="auto"/>
                <w:szCs w:val="18"/>
                <w:lang w:val="fr-FR"/>
              </w:rPr>
              <w:t xml:space="preserve"> Controller</w:t>
            </w:r>
            <w:r w:rsidR="00B827C7">
              <w:rPr>
                <w:color w:val="auto"/>
                <w:szCs w:val="18"/>
                <w:lang w:val="fr-FR"/>
              </w:rPr>
              <w:t>-</w:t>
            </w:r>
            <w:r w:rsidR="00576471" w:rsidRPr="00576471">
              <w:rPr>
                <w:color w:val="auto"/>
                <w:szCs w:val="18"/>
                <w:lang w:val="fr-FR"/>
              </w:rPr>
              <w:t>Daragh Brennan</w:t>
            </w:r>
          </w:p>
          <w:p w:rsidR="00576471" w:rsidRPr="00576471" w:rsidRDefault="00576471" w:rsidP="00A35D68">
            <w:pPr>
              <w:jc w:val="both"/>
              <w:rPr>
                <w:color w:val="auto"/>
              </w:rPr>
            </w:pPr>
          </w:p>
        </w:tc>
      </w:tr>
      <w:tr w:rsidR="00EA3BCB" w:rsidRPr="00D02053" w:rsidTr="009E524B">
        <w:tc>
          <w:tcPr>
            <w:tcW w:w="1985" w:type="dxa"/>
            <w:tcBorders>
              <w:left w:val="single" w:sz="6" w:space="0" w:color="666666"/>
              <w:right w:val="single" w:sz="6" w:space="0" w:color="666666"/>
              <w:tl2br w:val="nil"/>
              <w:tr2bl w:val="nil"/>
            </w:tcBorders>
            <w:shd w:val="clear" w:color="auto" w:fill="F2F2F2" w:themeFill="background1" w:themeFillShade="F2"/>
          </w:tcPr>
          <w:p w:rsidR="00EA3BCB" w:rsidRPr="00D02053" w:rsidRDefault="00CA63E7" w:rsidP="00302505">
            <w:pPr>
              <w:jc w:val="both"/>
              <w:rPr>
                <w:b/>
                <w:color w:val="auto"/>
              </w:rPr>
            </w:pPr>
            <w:r w:rsidRPr="00D02053">
              <w:rPr>
                <w:b/>
                <w:color w:val="auto"/>
              </w:rPr>
              <w:t xml:space="preserve">Process  </w:t>
            </w:r>
            <w:r w:rsidR="00ED2689" w:rsidRPr="00D02053">
              <w:rPr>
                <w:b/>
                <w:color w:val="auto"/>
              </w:rPr>
              <w:t>Objective</w:t>
            </w:r>
          </w:p>
        </w:tc>
        <w:tc>
          <w:tcPr>
            <w:tcW w:w="6946" w:type="dxa"/>
          </w:tcPr>
          <w:p w:rsidR="00EA3BCB" w:rsidRPr="00664D40" w:rsidRDefault="00CA63E7" w:rsidP="00A35D68">
            <w:pPr>
              <w:jc w:val="both"/>
              <w:rPr>
                <w:color w:val="auto"/>
              </w:rPr>
            </w:pPr>
            <w:r w:rsidRPr="00664D40">
              <w:rPr>
                <w:color w:val="auto"/>
              </w:rPr>
              <w:t>Ensure</w:t>
            </w:r>
            <w:r w:rsidR="00402B57" w:rsidRPr="00664D40">
              <w:rPr>
                <w:color w:val="auto"/>
              </w:rPr>
              <w:t xml:space="preserve"> </w:t>
            </w:r>
            <w:r w:rsidR="00A35D68">
              <w:rPr>
                <w:color w:val="auto"/>
              </w:rPr>
              <w:t>regulatory</w:t>
            </w:r>
            <w:r w:rsidR="00402B57" w:rsidRPr="00664D40">
              <w:rPr>
                <w:color w:val="auto"/>
              </w:rPr>
              <w:t xml:space="preserve"> reports</w:t>
            </w:r>
            <w:r w:rsidR="00A41EC9" w:rsidRPr="00664D40">
              <w:rPr>
                <w:color w:val="auto"/>
              </w:rPr>
              <w:t xml:space="preserve"> are appropriately prepared</w:t>
            </w:r>
            <w:r w:rsidR="0039501F">
              <w:rPr>
                <w:color w:val="auto"/>
              </w:rPr>
              <w:t>, approved</w:t>
            </w:r>
            <w:r w:rsidR="00A41EC9" w:rsidRPr="00664D40">
              <w:rPr>
                <w:color w:val="auto"/>
              </w:rPr>
              <w:t xml:space="preserve"> and reported</w:t>
            </w:r>
            <w:r w:rsidR="0039501F">
              <w:rPr>
                <w:color w:val="auto"/>
              </w:rPr>
              <w:t xml:space="preserve"> on a timely basis.</w:t>
            </w:r>
          </w:p>
        </w:tc>
      </w:tr>
      <w:tr w:rsidR="00EA3BCB" w:rsidRPr="00D02053" w:rsidTr="009E524B">
        <w:tc>
          <w:tcPr>
            <w:tcW w:w="1985" w:type="dxa"/>
            <w:tcBorders>
              <w:left w:val="single" w:sz="6" w:space="0" w:color="666666"/>
              <w:right w:val="single" w:sz="6" w:space="0" w:color="666666"/>
              <w:tl2br w:val="nil"/>
              <w:tr2bl w:val="nil"/>
            </w:tcBorders>
            <w:shd w:val="clear" w:color="auto" w:fill="F2F2F2" w:themeFill="background1" w:themeFillShade="F2"/>
          </w:tcPr>
          <w:p w:rsidR="00EA3BCB" w:rsidRPr="00D02053" w:rsidRDefault="00403C6D" w:rsidP="00302505">
            <w:pPr>
              <w:jc w:val="both"/>
              <w:rPr>
                <w:b/>
                <w:color w:val="auto"/>
              </w:rPr>
            </w:pPr>
            <w:r w:rsidRPr="00D02053">
              <w:rPr>
                <w:b/>
                <w:color w:val="auto"/>
              </w:rPr>
              <w:t>Process Scope</w:t>
            </w:r>
          </w:p>
        </w:tc>
        <w:tc>
          <w:tcPr>
            <w:tcW w:w="6946" w:type="dxa"/>
          </w:tcPr>
          <w:p w:rsidR="003B26F4" w:rsidRPr="00B24194" w:rsidRDefault="00BF324F" w:rsidP="00302505">
            <w:pPr>
              <w:jc w:val="both"/>
              <w:rPr>
                <w:color w:val="auto"/>
              </w:rPr>
            </w:pPr>
            <w:r w:rsidRPr="00B24194">
              <w:rPr>
                <w:color w:val="auto"/>
              </w:rPr>
              <w:t>The process includes</w:t>
            </w:r>
            <w:r w:rsidR="00E275F8" w:rsidRPr="00B24194">
              <w:rPr>
                <w:color w:val="auto"/>
              </w:rPr>
              <w:t xml:space="preserve"> the following:</w:t>
            </w:r>
          </w:p>
          <w:p w:rsidR="00E275F8" w:rsidRDefault="00E275F8" w:rsidP="00302505">
            <w:pPr>
              <w:pStyle w:val="ListParagraph"/>
              <w:numPr>
                <w:ilvl w:val="0"/>
                <w:numId w:val="44"/>
              </w:numPr>
              <w:jc w:val="both"/>
              <w:rPr>
                <w:color w:val="auto"/>
              </w:rPr>
            </w:pPr>
            <w:r w:rsidRPr="00B24194">
              <w:rPr>
                <w:color w:val="auto"/>
              </w:rPr>
              <w:t>Reporting cycle management</w:t>
            </w:r>
          </w:p>
          <w:p w:rsidR="00A35D68" w:rsidRPr="00B24194" w:rsidRDefault="00A35D68" w:rsidP="00302505">
            <w:pPr>
              <w:pStyle w:val="ListParagraph"/>
              <w:numPr>
                <w:ilvl w:val="0"/>
                <w:numId w:val="44"/>
              </w:numPr>
              <w:jc w:val="both"/>
              <w:rPr>
                <w:color w:val="auto"/>
              </w:rPr>
            </w:pPr>
            <w:r>
              <w:rPr>
                <w:color w:val="auto"/>
              </w:rPr>
              <w:t>Data inputs or imports</w:t>
            </w:r>
          </w:p>
          <w:p w:rsidR="00E275F8" w:rsidRDefault="00E743EF" w:rsidP="00302505">
            <w:pPr>
              <w:pStyle w:val="ListParagraph"/>
              <w:numPr>
                <w:ilvl w:val="0"/>
                <w:numId w:val="44"/>
              </w:numPr>
              <w:jc w:val="both"/>
              <w:rPr>
                <w:color w:val="auto"/>
              </w:rPr>
            </w:pPr>
            <w:r w:rsidRPr="00B24194">
              <w:rPr>
                <w:color w:val="auto"/>
              </w:rPr>
              <w:t xml:space="preserve">Production of </w:t>
            </w:r>
            <w:r w:rsidR="00A35D68">
              <w:rPr>
                <w:color w:val="auto"/>
              </w:rPr>
              <w:t>regulatory</w:t>
            </w:r>
            <w:r w:rsidRPr="00B24194">
              <w:rPr>
                <w:color w:val="auto"/>
              </w:rPr>
              <w:t xml:space="preserve"> reports</w:t>
            </w:r>
          </w:p>
          <w:p w:rsidR="00A35D68" w:rsidRPr="00B24194" w:rsidRDefault="00A35D68" w:rsidP="00302505">
            <w:pPr>
              <w:pStyle w:val="ListParagraph"/>
              <w:numPr>
                <w:ilvl w:val="0"/>
                <w:numId w:val="44"/>
              </w:numPr>
              <w:jc w:val="both"/>
              <w:rPr>
                <w:color w:val="auto"/>
              </w:rPr>
            </w:pPr>
            <w:r>
              <w:rPr>
                <w:color w:val="auto"/>
              </w:rPr>
              <w:t>Review</w:t>
            </w:r>
            <w:r w:rsidR="0039501F">
              <w:rPr>
                <w:color w:val="auto"/>
              </w:rPr>
              <w:t>, approval</w:t>
            </w:r>
            <w:r>
              <w:rPr>
                <w:color w:val="auto"/>
              </w:rPr>
              <w:t xml:space="preserve"> and submission of regulatory reports</w:t>
            </w:r>
          </w:p>
          <w:p w:rsidR="00990DCB" w:rsidRPr="00D02053" w:rsidRDefault="00990DCB" w:rsidP="00B24194">
            <w:pPr>
              <w:jc w:val="both"/>
              <w:rPr>
                <w:color w:val="auto"/>
              </w:rPr>
            </w:pPr>
          </w:p>
        </w:tc>
      </w:tr>
    </w:tbl>
    <w:p w:rsidR="00CA63E7" w:rsidRPr="00552CC5" w:rsidRDefault="00CA63E7" w:rsidP="00302505">
      <w:pPr>
        <w:pStyle w:val="IntroductionSmall"/>
        <w:jc w:val="both"/>
        <w:rPr>
          <w:b/>
          <w:color w:val="auto"/>
        </w:rPr>
      </w:pPr>
    </w:p>
    <w:p w:rsidR="002D55ED" w:rsidRPr="00576471" w:rsidRDefault="002D55ED" w:rsidP="00AB2F4E">
      <w:pPr>
        <w:pStyle w:val="Heading1"/>
        <w:numPr>
          <w:ilvl w:val="0"/>
          <w:numId w:val="47"/>
        </w:numPr>
        <w:rPr>
          <w:rFonts w:ascii="Verdana" w:hAnsi="Verdana"/>
          <w:b/>
          <w:color w:val="C00000"/>
          <w:sz w:val="20"/>
        </w:rPr>
      </w:pPr>
      <w:bookmarkStart w:id="1" w:name="_Toc493250523"/>
      <w:r w:rsidRPr="00576471">
        <w:rPr>
          <w:rFonts w:ascii="Verdana" w:hAnsi="Verdana"/>
          <w:b/>
          <w:color w:val="C00000"/>
          <w:sz w:val="20"/>
        </w:rPr>
        <w:t xml:space="preserve">Summary </w:t>
      </w:r>
      <w:r w:rsidR="00552CC5" w:rsidRPr="00576471">
        <w:rPr>
          <w:rFonts w:ascii="Verdana" w:hAnsi="Verdana"/>
          <w:b/>
          <w:color w:val="C00000"/>
          <w:sz w:val="20"/>
        </w:rPr>
        <w:t xml:space="preserve">Regulators and Reporting </w:t>
      </w:r>
      <w:r w:rsidR="009C7F15" w:rsidRPr="00576471">
        <w:rPr>
          <w:rFonts w:ascii="Verdana" w:hAnsi="Verdana"/>
          <w:b/>
          <w:color w:val="C00000"/>
          <w:sz w:val="20"/>
        </w:rPr>
        <w:t>Responsibilities</w:t>
      </w:r>
      <w:bookmarkEnd w:id="1"/>
    </w:p>
    <w:tbl>
      <w:tblPr>
        <w:tblW w:w="6023" w:type="pct"/>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1985"/>
        <w:gridCol w:w="1984"/>
        <w:gridCol w:w="2266"/>
        <w:gridCol w:w="2693"/>
      </w:tblGrid>
      <w:tr w:rsidR="009D1704" w:rsidRPr="00D02053" w:rsidTr="009C7F15">
        <w:tc>
          <w:tcPr>
            <w:tcW w:w="1111" w:type="pct"/>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9D1704" w:rsidRPr="00D02053" w:rsidRDefault="009D1704" w:rsidP="009D1704">
            <w:pPr>
              <w:jc w:val="both"/>
              <w:rPr>
                <w:b/>
                <w:color w:val="auto"/>
              </w:rPr>
            </w:pPr>
            <w:r>
              <w:rPr>
                <w:b/>
                <w:color w:val="auto"/>
              </w:rPr>
              <w:t>Regulator</w:t>
            </w:r>
          </w:p>
        </w:tc>
        <w:tc>
          <w:tcPr>
            <w:tcW w:w="1111" w:type="pct"/>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9D1704" w:rsidRPr="00D02053" w:rsidRDefault="009D1704" w:rsidP="009D1704">
            <w:pPr>
              <w:jc w:val="both"/>
              <w:rPr>
                <w:b/>
                <w:color w:val="auto"/>
              </w:rPr>
            </w:pPr>
            <w:r>
              <w:rPr>
                <w:b/>
                <w:color w:val="auto"/>
              </w:rPr>
              <w:t>Reports</w:t>
            </w:r>
          </w:p>
          <w:p w:rsidR="009D1704" w:rsidRPr="00D02053" w:rsidRDefault="009D1704" w:rsidP="009D1704">
            <w:pPr>
              <w:jc w:val="both"/>
              <w:rPr>
                <w:b/>
                <w:color w:val="auto"/>
              </w:rPr>
            </w:pPr>
          </w:p>
        </w:tc>
        <w:tc>
          <w:tcPr>
            <w:tcW w:w="1269" w:type="pct"/>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9D1704" w:rsidRPr="00D02053" w:rsidRDefault="009D1704" w:rsidP="009D1704">
            <w:pPr>
              <w:jc w:val="both"/>
              <w:rPr>
                <w:b/>
                <w:color w:val="auto"/>
              </w:rPr>
            </w:pPr>
            <w:r>
              <w:rPr>
                <w:b/>
                <w:color w:val="auto"/>
              </w:rPr>
              <w:t>Process Owner</w:t>
            </w:r>
          </w:p>
        </w:tc>
        <w:tc>
          <w:tcPr>
            <w:tcW w:w="1508" w:type="pct"/>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9D1704" w:rsidRDefault="009C7F15" w:rsidP="009D1704">
            <w:pPr>
              <w:jc w:val="both"/>
              <w:rPr>
                <w:b/>
                <w:color w:val="auto"/>
              </w:rPr>
            </w:pPr>
            <w:r>
              <w:rPr>
                <w:b/>
                <w:color w:val="auto"/>
              </w:rPr>
              <w:t>Responsible Team</w:t>
            </w:r>
          </w:p>
        </w:tc>
      </w:tr>
      <w:tr w:rsidR="009C7F15" w:rsidRPr="00D02053" w:rsidTr="009C7F15">
        <w:tc>
          <w:tcPr>
            <w:tcW w:w="1111" w:type="pct"/>
            <w:vMerge w:val="restart"/>
            <w:tcBorders>
              <w:top w:val="single" w:sz="6" w:space="0" w:color="666666"/>
              <w:left w:val="single" w:sz="6" w:space="0" w:color="666666"/>
              <w:right w:val="single" w:sz="6" w:space="0" w:color="666666"/>
              <w:tl2br w:val="nil"/>
              <w:tr2bl w:val="nil"/>
            </w:tcBorders>
            <w:shd w:val="clear" w:color="auto" w:fill="F2F2F2" w:themeFill="background1" w:themeFillShade="F2"/>
          </w:tcPr>
          <w:p w:rsidR="009C7F15" w:rsidRPr="00D02053" w:rsidRDefault="009C7F15" w:rsidP="009D1704">
            <w:pPr>
              <w:jc w:val="both"/>
              <w:rPr>
                <w:b/>
                <w:color w:val="auto"/>
              </w:rPr>
            </w:pPr>
            <w:r>
              <w:rPr>
                <w:b/>
                <w:color w:val="auto"/>
              </w:rPr>
              <w:t>Lloyd’s</w:t>
            </w:r>
          </w:p>
          <w:p w:rsidR="009C7F15" w:rsidRPr="00D02053" w:rsidRDefault="009C7F15" w:rsidP="009D1704">
            <w:pPr>
              <w:jc w:val="both"/>
              <w:rPr>
                <w:b/>
                <w:color w:val="auto"/>
              </w:rPr>
            </w:pPr>
            <w:r w:rsidRPr="00D02053">
              <w:rPr>
                <w:b/>
                <w:color w:val="auto"/>
              </w:rPr>
              <w:t>Process Owner</w:t>
            </w:r>
          </w:p>
        </w:tc>
        <w:tc>
          <w:tcPr>
            <w:tcW w:w="1111" w:type="pct"/>
            <w:shd w:val="clear" w:color="auto" w:fill="FFFFFF" w:themeFill="background1"/>
          </w:tcPr>
          <w:p w:rsidR="009C7F15" w:rsidRPr="00664D40" w:rsidRDefault="009C7F15" w:rsidP="009C7F15">
            <w:pPr>
              <w:rPr>
                <w:color w:val="auto"/>
                <w:szCs w:val="18"/>
              </w:rPr>
            </w:pPr>
            <w:r>
              <w:rPr>
                <w:color w:val="auto"/>
                <w:szCs w:val="18"/>
              </w:rPr>
              <w:t>Syndicate</w:t>
            </w:r>
            <w:r w:rsidR="00B827C7">
              <w:rPr>
                <w:color w:val="auto"/>
                <w:szCs w:val="18"/>
              </w:rPr>
              <w:t xml:space="preserve"> Financial Statements</w:t>
            </w:r>
            <w:r>
              <w:rPr>
                <w:color w:val="auto"/>
                <w:szCs w:val="18"/>
              </w:rPr>
              <w:t xml:space="preserve"> Reporting</w:t>
            </w:r>
          </w:p>
        </w:tc>
        <w:tc>
          <w:tcPr>
            <w:tcW w:w="1269" w:type="pct"/>
            <w:shd w:val="clear" w:color="auto" w:fill="FFFFFF" w:themeFill="background1"/>
          </w:tcPr>
          <w:p w:rsidR="009C7F15" w:rsidRPr="00576471" w:rsidRDefault="00B827C7" w:rsidP="00576471">
            <w:pPr>
              <w:rPr>
                <w:color w:val="auto"/>
                <w:szCs w:val="18"/>
                <w:lang w:val="fr-FR"/>
              </w:rPr>
            </w:pPr>
            <w:proofErr w:type="spellStart"/>
            <w:r>
              <w:rPr>
                <w:color w:val="auto"/>
                <w:szCs w:val="18"/>
                <w:lang w:val="fr-FR"/>
              </w:rPr>
              <w:t>Syndicate</w:t>
            </w:r>
            <w:proofErr w:type="spellEnd"/>
            <w:r>
              <w:rPr>
                <w:color w:val="auto"/>
                <w:szCs w:val="18"/>
                <w:lang w:val="fr-FR"/>
              </w:rPr>
              <w:t xml:space="preserve"> Controller, Finance-</w:t>
            </w:r>
            <w:r w:rsidR="009C7F15" w:rsidRPr="00576471">
              <w:rPr>
                <w:color w:val="auto"/>
                <w:szCs w:val="18"/>
                <w:lang w:val="fr-FR"/>
              </w:rPr>
              <w:t>Daragh Brennan</w:t>
            </w:r>
          </w:p>
        </w:tc>
        <w:tc>
          <w:tcPr>
            <w:tcW w:w="1508" w:type="pct"/>
            <w:shd w:val="clear" w:color="auto" w:fill="FFFFFF" w:themeFill="background1"/>
          </w:tcPr>
          <w:p w:rsidR="009C7F15" w:rsidRDefault="009C7F15" w:rsidP="009C7F15">
            <w:pPr>
              <w:rPr>
                <w:color w:val="auto"/>
                <w:szCs w:val="18"/>
              </w:rPr>
            </w:pPr>
            <w:r>
              <w:rPr>
                <w:color w:val="auto"/>
                <w:szCs w:val="18"/>
              </w:rPr>
              <w:t>Syndicate Reporting team (Dublin)</w:t>
            </w:r>
          </w:p>
        </w:tc>
      </w:tr>
      <w:tr w:rsidR="009C7F15" w:rsidRPr="00D02053" w:rsidTr="009C7F15">
        <w:tc>
          <w:tcPr>
            <w:tcW w:w="1111" w:type="pct"/>
            <w:vMerge/>
            <w:tcBorders>
              <w:left w:val="single" w:sz="6" w:space="0" w:color="666666"/>
              <w:right w:val="single" w:sz="6" w:space="0" w:color="666666"/>
              <w:tl2br w:val="nil"/>
              <w:tr2bl w:val="nil"/>
            </w:tcBorders>
            <w:shd w:val="clear" w:color="auto" w:fill="F2F2F2" w:themeFill="background1" w:themeFillShade="F2"/>
          </w:tcPr>
          <w:p w:rsidR="009C7F15" w:rsidRPr="00D02053" w:rsidRDefault="009C7F15" w:rsidP="009D1704">
            <w:pPr>
              <w:jc w:val="both"/>
              <w:rPr>
                <w:b/>
                <w:color w:val="auto"/>
              </w:rPr>
            </w:pPr>
          </w:p>
        </w:tc>
        <w:tc>
          <w:tcPr>
            <w:tcW w:w="1111" w:type="pct"/>
          </w:tcPr>
          <w:p w:rsidR="009C7F15" w:rsidRPr="00664D40" w:rsidRDefault="009C7F15" w:rsidP="009C7F15">
            <w:pPr>
              <w:rPr>
                <w:color w:val="auto"/>
              </w:rPr>
            </w:pPr>
            <w:r>
              <w:rPr>
                <w:color w:val="auto"/>
              </w:rPr>
              <w:t>QMA</w:t>
            </w:r>
          </w:p>
        </w:tc>
        <w:tc>
          <w:tcPr>
            <w:tcW w:w="1269" w:type="pct"/>
          </w:tcPr>
          <w:p w:rsidR="009C7F15" w:rsidRDefault="009C7F15" w:rsidP="00576471">
            <w:pPr>
              <w:rPr>
                <w:color w:val="auto"/>
              </w:rPr>
            </w:pPr>
            <w:r w:rsidRPr="009C7F15">
              <w:rPr>
                <w:color w:val="auto"/>
              </w:rPr>
              <w:t>Regulatory Reporting Manager</w:t>
            </w:r>
            <w:r w:rsidR="00B827C7">
              <w:rPr>
                <w:color w:val="auto"/>
              </w:rPr>
              <w:t>-</w:t>
            </w:r>
            <w:r w:rsidRPr="009C7F15">
              <w:rPr>
                <w:color w:val="auto"/>
              </w:rPr>
              <w:t>Rizwan Kermali</w:t>
            </w:r>
          </w:p>
        </w:tc>
        <w:tc>
          <w:tcPr>
            <w:tcW w:w="1508" w:type="pct"/>
          </w:tcPr>
          <w:p w:rsidR="009C7F15" w:rsidRDefault="009C7F15" w:rsidP="00576471">
            <w:pPr>
              <w:rPr>
                <w:color w:val="auto"/>
              </w:rPr>
            </w:pPr>
            <w:r>
              <w:rPr>
                <w:color w:val="auto"/>
              </w:rPr>
              <w:t xml:space="preserve">Lloyd's </w:t>
            </w:r>
            <w:r w:rsidRPr="009C7F15">
              <w:rPr>
                <w:color w:val="auto"/>
              </w:rPr>
              <w:t>Reporting Team (London)</w:t>
            </w:r>
          </w:p>
        </w:tc>
      </w:tr>
      <w:tr w:rsidR="009C7F15" w:rsidRPr="00D02053" w:rsidTr="009C7F15">
        <w:tc>
          <w:tcPr>
            <w:tcW w:w="1111" w:type="pct"/>
            <w:vMerge/>
            <w:tcBorders>
              <w:left w:val="single" w:sz="6" w:space="0" w:color="666666"/>
              <w:right w:val="single" w:sz="6" w:space="0" w:color="666666"/>
              <w:tl2br w:val="nil"/>
              <w:tr2bl w:val="nil"/>
            </w:tcBorders>
            <w:shd w:val="clear" w:color="auto" w:fill="F2F2F2" w:themeFill="background1" w:themeFillShade="F2"/>
          </w:tcPr>
          <w:p w:rsidR="009C7F15" w:rsidRDefault="009C7F15" w:rsidP="009D1704">
            <w:pPr>
              <w:jc w:val="both"/>
              <w:rPr>
                <w:b/>
                <w:color w:val="auto"/>
              </w:rPr>
            </w:pPr>
          </w:p>
        </w:tc>
        <w:tc>
          <w:tcPr>
            <w:tcW w:w="1111" w:type="pct"/>
          </w:tcPr>
          <w:p w:rsidR="009C7F15" w:rsidRPr="009D1704" w:rsidRDefault="009C7F15" w:rsidP="009C7F15">
            <w:pPr>
              <w:rPr>
                <w:color w:val="auto"/>
              </w:rPr>
            </w:pPr>
            <w:r>
              <w:rPr>
                <w:color w:val="auto"/>
              </w:rPr>
              <w:t>QMB</w:t>
            </w:r>
          </w:p>
        </w:tc>
        <w:tc>
          <w:tcPr>
            <w:tcW w:w="1269" w:type="pct"/>
          </w:tcPr>
          <w:p w:rsidR="009C7F15" w:rsidRPr="00664D40" w:rsidRDefault="00B827C7" w:rsidP="00576471">
            <w:pPr>
              <w:rPr>
                <w:color w:val="auto"/>
              </w:rPr>
            </w:pPr>
            <w:r w:rsidRPr="009C7F15">
              <w:rPr>
                <w:color w:val="auto"/>
              </w:rPr>
              <w:t>Regulatory Reporting Manager</w:t>
            </w:r>
            <w:r>
              <w:rPr>
                <w:color w:val="auto"/>
              </w:rPr>
              <w:t>-</w:t>
            </w:r>
            <w:r w:rsidRPr="009C7F15">
              <w:rPr>
                <w:color w:val="auto"/>
              </w:rPr>
              <w:t>Rizwan Kermali</w:t>
            </w:r>
          </w:p>
        </w:tc>
        <w:tc>
          <w:tcPr>
            <w:tcW w:w="1508" w:type="pct"/>
          </w:tcPr>
          <w:p w:rsidR="009C7F15" w:rsidRPr="00664D40" w:rsidRDefault="009C7F15" w:rsidP="00576471">
            <w:pPr>
              <w:rPr>
                <w:color w:val="auto"/>
              </w:rPr>
            </w:pPr>
            <w:r w:rsidRPr="009C7F15">
              <w:rPr>
                <w:color w:val="auto"/>
              </w:rPr>
              <w:t>Lloyd's Reporting Team (London)</w:t>
            </w:r>
          </w:p>
        </w:tc>
      </w:tr>
      <w:tr w:rsidR="009C7F15" w:rsidRPr="00D02053" w:rsidTr="009C7F15">
        <w:tc>
          <w:tcPr>
            <w:tcW w:w="1111" w:type="pct"/>
            <w:vMerge/>
            <w:tcBorders>
              <w:left w:val="single" w:sz="6" w:space="0" w:color="666666"/>
              <w:right w:val="single" w:sz="6" w:space="0" w:color="666666"/>
              <w:tl2br w:val="nil"/>
              <w:tr2bl w:val="nil"/>
            </w:tcBorders>
            <w:shd w:val="clear" w:color="auto" w:fill="F2F2F2" w:themeFill="background1" w:themeFillShade="F2"/>
          </w:tcPr>
          <w:p w:rsidR="009C7F15" w:rsidRDefault="009C7F15" w:rsidP="009D1704">
            <w:pPr>
              <w:jc w:val="both"/>
              <w:rPr>
                <w:b/>
                <w:color w:val="auto"/>
              </w:rPr>
            </w:pPr>
          </w:p>
        </w:tc>
        <w:tc>
          <w:tcPr>
            <w:tcW w:w="1111" w:type="pct"/>
          </w:tcPr>
          <w:p w:rsidR="009C7F15" w:rsidRPr="009D1704" w:rsidRDefault="009C7F15" w:rsidP="009C7F15">
            <w:pPr>
              <w:rPr>
                <w:color w:val="auto"/>
              </w:rPr>
            </w:pPr>
            <w:r>
              <w:rPr>
                <w:color w:val="auto"/>
              </w:rPr>
              <w:t>QSR/ASR</w:t>
            </w:r>
          </w:p>
        </w:tc>
        <w:tc>
          <w:tcPr>
            <w:tcW w:w="1269" w:type="pct"/>
          </w:tcPr>
          <w:p w:rsidR="009C7F15" w:rsidRPr="00664D40" w:rsidRDefault="00B827C7" w:rsidP="00576471">
            <w:pPr>
              <w:rPr>
                <w:color w:val="auto"/>
              </w:rPr>
            </w:pPr>
            <w:r>
              <w:rPr>
                <w:color w:val="auto"/>
              </w:rPr>
              <w:t xml:space="preserve">Regulatory </w:t>
            </w:r>
            <w:r w:rsidRPr="009C7F15">
              <w:rPr>
                <w:color w:val="auto"/>
              </w:rPr>
              <w:t>Reporting Manager</w:t>
            </w:r>
            <w:r>
              <w:rPr>
                <w:color w:val="auto"/>
              </w:rPr>
              <w:t>-</w:t>
            </w:r>
            <w:r w:rsidRPr="009C7F15">
              <w:rPr>
                <w:color w:val="auto"/>
              </w:rPr>
              <w:t>Rizwan Kermali</w:t>
            </w:r>
          </w:p>
        </w:tc>
        <w:tc>
          <w:tcPr>
            <w:tcW w:w="1508" w:type="pct"/>
          </w:tcPr>
          <w:p w:rsidR="009C7F15" w:rsidRPr="00664D40" w:rsidRDefault="009C7F15" w:rsidP="00576471">
            <w:pPr>
              <w:rPr>
                <w:color w:val="auto"/>
              </w:rPr>
            </w:pPr>
            <w:r w:rsidRPr="009C7F15">
              <w:rPr>
                <w:color w:val="auto"/>
              </w:rPr>
              <w:t>SII Reporting Team (London)</w:t>
            </w:r>
          </w:p>
        </w:tc>
      </w:tr>
      <w:tr w:rsidR="009C7F15" w:rsidRPr="00D02053" w:rsidTr="009C7F15">
        <w:tc>
          <w:tcPr>
            <w:tcW w:w="1111" w:type="pct"/>
            <w:vMerge w:val="restart"/>
            <w:tcBorders>
              <w:left w:val="single" w:sz="6" w:space="0" w:color="666666"/>
              <w:right w:val="single" w:sz="6" w:space="0" w:color="666666"/>
              <w:tl2br w:val="nil"/>
              <w:tr2bl w:val="nil"/>
            </w:tcBorders>
            <w:shd w:val="clear" w:color="auto" w:fill="F2F2F2" w:themeFill="background1" w:themeFillShade="F2"/>
          </w:tcPr>
          <w:p w:rsidR="009C7F15" w:rsidRPr="00D02053" w:rsidRDefault="009C7F15" w:rsidP="009D1704">
            <w:pPr>
              <w:jc w:val="both"/>
              <w:rPr>
                <w:b/>
                <w:color w:val="auto"/>
              </w:rPr>
            </w:pPr>
            <w:r>
              <w:rPr>
                <w:b/>
                <w:color w:val="auto"/>
              </w:rPr>
              <w:t>CBI</w:t>
            </w:r>
          </w:p>
          <w:p w:rsidR="009C7F15" w:rsidRPr="00D02053" w:rsidRDefault="009C7F15" w:rsidP="009D1704">
            <w:pPr>
              <w:jc w:val="both"/>
              <w:rPr>
                <w:b/>
                <w:color w:val="auto"/>
              </w:rPr>
            </w:pPr>
          </w:p>
        </w:tc>
        <w:tc>
          <w:tcPr>
            <w:tcW w:w="1111" w:type="pct"/>
          </w:tcPr>
          <w:p w:rsidR="009C7F15" w:rsidRPr="00664D40" w:rsidRDefault="009C7F15" w:rsidP="009C7F15">
            <w:pPr>
              <w:rPr>
                <w:color w:val="auto"/>
              </w:rPr>
            </w:pPr>
            <w:r w:rsidRPr="009D1704">
              <w:rPr>
                <w:color w:val="auto"/>
              </w:rPr>
              <w:t>Beazley Insurance dac (Solo) - formerly BERE</w:t>
            </w:r>
          </w:p>
        </w:tc>
        <w:tc>
          <w:tcPr>
            <w:tcW w:w="1269" w:type="pct"/>
          </w:tcPr>
          <w:p w:rsidR="009C7F15" w:rsidRPr="00664D40" w:rsidRDefault="00B827C7" w:rsidP="00576471">
            <w:pPr>
              <w:rPr>
                <w:color w:val="auto"/>
              </w:rPr>
            </w:pPr>
            <w:r w:rsidRPr="009C7F15">
              <w:rPr>
                <w:color w:val="auto"/>
              </w:rPr>
              <w:t>Regulatory Reporting Manager</w:t>
            </w:r>
            <w:r>
              <w:rPr>
                <w:color w:val="auto"/>
              </w:rPr>
              <w:t>-</w:t>
            </w:r>
            <w:r w:rsidRPr="009C7F15">
              <w:rPr>
                <w:color w:val="auto"/>
              </w:rPr>
              <w:t>Rizwan Kermali</w:t>
            </w:r>
          </w:p>
        </w:tc>
        <w:tc>
          <w:tcPr>
            <w:tcW w:w="1508" w:type="pct"/>
          </w:tcPr>
          <w:p w:rsidR="009C7F15" w:rsidRPr="00664D40" w:rsidRDefault="009C7F15" w:rsidP="00576471">
            <w:pPr>
              <w:rPr>
                <w:color w:val="auto"/>
              </w:rPr>
            </w:pPr>
            <w:r w:rsidRPr="009C7F15">
              <w:rPr>
                <w:color w:val="auto"/>
              </w:rPr>
              <w:t>SII Reporting Team (London)</w:t>
            </w:r>
          </w:p>
        </w:tc>
      </w:tr>
      <w:tr w:rsidR="009C7F15" w:rsidRPr="00D02053" w:rsidTr="009C7F15">
        <w:tc>
          <w:tcPr>
            <w:tcW w:w="1111" w:type="pct"/>
            <w:vMerge/>
            <w:tcBorders>
              <w:left w:val="single" w:sz="6" w:space="0" w:color="666666"/>
              <w:right w:val="single" w:sz="6" w:space="0" w:color="666666"/>
              <w:tl2br w:val="nil"/>
              <w:tr2bl w:val="nil"/>
            </w:tcBorders>
            <w:shd w:val="clear" w:color="auto" w:fill="F2F2F2" w:themeFill="background1" w:themeFillShade="F2"/>
          </w:tcPr>
          <w:p w:rsidR="009C7F15" w:rsidRPr="00D02053" w:rsidRDefault="009C7F15" w:rsidP="009D1704">
            <w:pPr>
              <w:jc w:val="both"/>
              <w:rPr>
                <w:b/>
                <w:color w:val="auto"/>
              </w:rPr>
            </w:pPr>
          </w:p>
        </w:tc>
        <w:tc>
          <w:tcPr>
            <w:tcW w:w="1111" w:type="pct"/>
          </w:tcPr>
          <w:p w:rsidR="009C7F15" w:rsidRPr="00D02053" w:rsidRDefault="009C7F15" w:rsidP="009C7F15">
            <w:pPr>
              <w:rPr>
                <w:color w:val="auto"/>
              </w:rPr>
            </w:pPr>
            <w:r w:rsidRPr="009D1704">
              <w:rPr>
                <w:color w:val="auto"/>
              </w:rPr>
              <w:t>Beazley plc (Group)</w:t>
            </w:r>
          </w:p>
        </w:tc>
        <w:tc>
          <w:tcPr>
            <w:tcW w:w="1269" w:type="pct"/>
          </w:tcPr>
          <w:p w:rsidR="009C7F15" w:rsidRPr="00B24194" w:rsidRDefault="00B827C7" w:rsidP="00576471">
            <w:pPr>
              <w:rPr>
                <w:color w:val="auto"/>
              </w:rPr>
            </w:pPr>
            <w:r w:rsidRPr="009C7F15">
              <w:rPr>
                <w:color w:val="auto"/>
              </w:rPr>
              <w:t>Regulatory Reporting Manager</w:t>
            </w:r>
            <w:r>
              <w:rPr>
                <w:color w:val="auto"/>
              </w:rPr>
              <w:t>-</w:t>
            </w:r>
            <w:r w:rsidRPr="009C7F15">
              <w:rPr>
                <w:color w:val="auto"/>
              </w:rPr>
              <w:t>Rizwan Kermali</w:t>
            </w:r>
          </w:p>
        </w:tc>
        <w:tc>
          <w:tcPr>
            <w:tcW w:w="1508" w:type="pct"/>
          </w:tcPr>
          <w:p w:rsidR="009C7F15" w:rsidRPr="00B24194" w:rsidRDefault="009C7F15" w:rsidP="00576471">
            <w:pPr>
              <w:rPr>
                <w:color w:val="auto"/>
              </w:rPr>
            </w:pPr>
            <w:r w:rsidRPr="009C7F15">
              <w:rPr>
                <w:color w:val="auto"/>
              </w:rPr>
              <w:t>SII Reporting Team (London)</w:t>
            </w:r>
          </w:p>
        </w:tc>
      </w:tr>
    </w:tbl>
    <w:p w:rsidR="002D55ED" w:rsidRPr="00D02053" w:rsidRDefault="002D55ED" w:rsidP="00302505">
      <w:pPr>
        <w:pStyle w:val="IntroductionSmall"/>
        <w:jc w:val="both"/>
        <w:rPr>
          <w:color w:val="auto"/>
        </w:rPr>
      </w:pPr>
    </w:p>
    <w:p w:rsidR="00E707D7" w:rsidRPr="00576471" w:rsidRDefault="00ED2689" w:rsidP="00552CC5">
      <w:pPr>
        <w:pStyle w:val="Heading1"/>
        <w:numPr>
          <w:ilvl w:val="0"/>
          <w:numId w:val="47"/>
        </w:numPr>
        <w:rPr>
          <w:rFonts w:ascii="Verdana" w:hAnsi="Verdana"/>
          <w:b/>
          <w:color w:val="C00000"/>
          <w:sz w:val="20"/>
        </w:rPr>
      </w:pPr>
      <w:bookmarkStart w:id="2" w:name="_Toc493250524"/>
      <w:r w:rsidRPr="00576471">
        <w:rPr>
          <w:rFonts w:ascii="Verdana" w:hAnsi="Verdana"/>
          <w:b/>
          <w:color w:val="C00000"/>
          <w:sz w:val="20"/>
        </w:rPr>
        <w:t>Summary of Findings and Recommendations</w:t>
      </w:r>
      <w:bookmarkEnd w:id="2"/>
    </w:p>
    <w:p w:rsidR="00AE230C" w:rsidRPr="00E97FDB" w:rsidRDefault="00AE230C" w:rsidP="00302505">
      <w:pPr>
        <w:jc w:val="both"/>
        <w:rPr>
          <w:color w:val="auto"/>
        </w:rPr>
      </w:pPr>
      <w:r w:rsidRPr="00E97FDB">
        <w:rPr>
          <w:color w:val="auto"/>
        </w:rPr>
        <w:t xml:space="preserve">The </w:t>
      </w:r>
      <w:r w:rsidR="00576471" w:rsidRPr="00E97FDB">
        <w:rPr>
          <w:color w:val="auto"/>
        </w:rPr>
        <w:t>regulatory</w:t>
      </w:r>
      <w:r w:rsidR="00B24194" w:rsidRPr="00E97FDB">
        <w:rPr>
          <w:color w:val="auto"/>
        </w:rPr>
        <w:t xml:space="preserve"> </w:t>
      </w:r>
      <w:r w:rsidRPr="00E97FDB">
        <w:rPr>
          <w:color w:val="auto"/>
        </w:rPr>
        <w:t>reporting process is a mature process which has robust controls which are already included in the Risk Register and therefore being monitored.</w:t>
      </w:r>
    </w:p>
    <w:p w:rsidR="00962389" w:rsidRPr="00E97FDB" w:rsidRDefault="00962389" w:rsidP="00302505">
      <w:pPr>
        <w:jc w:val="both"/>
        <w:rPr>
          <w:color w:val="auto"/>
        </w:rPr>
      </w:pPr>
    </w:p>
    <w:p w:rsidR="00962389" w:rsidRDefault="00962389" w:rsidP="00962389">
      <w:r w:rsidRPr="00E97FDB">
        <w:t>Below is a list of findings or recommendations identified for the regulatory reporting process.</w:t>
      </w:r>
    </w:p>
    <w:p w:rsidR="00962389" w:rsidRPr="00B24194" w:rsidRDefault="00962389" w:rsidP="00302505">
      <w:pPr>
        <w:jc w:val="both"/>
        <w:rPr>
          <w:color w:val="auto"/>
        </w:rPr>
      </w:pPr>
    </w:p>
    <w:p w:rsidR="00AE230C" w:rsidRDefault="00AE230C" w:rsidP="00302505">
      <w:pPr>
        <w:jc w:val="both"/>
        <w:rPr>
          <w:color w:val="auto"/>
        </w:rPr>
      </w:pPr>
    </w:p>
    <w:tbl>
      <w:tblPr>
        <w:tblW w:w="8910"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5954"/>
        <w:gridCol w:w="2247"/>
      </w:tblGrid>
      <w:tr w:rsidR="00962389" w:rsidRPr="00CD4F32" w:rsidTr="00962389">
        <w:trPr>
          <w:trHeight w:val="640"/>
        </w:trPr>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962389" w:rsidRPr="00D77F32" w:rsidRDefault="00962389" w:rsidP="00962389">
            <w:pPr>
              <w:rPr>
                <w:b/>
              </w:rPr>
            </w:pPr>
          </w:p>
        </w:tc>
        <w:tc>
          <w:tcPr>
            <w:tcW w:w="595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962389" w:rsidRPr="00D77F32" w:rsidRDefault="00962389" w:rsidP="00962389">
            <w:pPr>
              <w:jc w:val="center"/>
              <w:rPr>
                <w:b/>
              </w:rPr>
            </w:pPr>
            <w:r w:rsidRPr="00D77F32">
              <w:rPr>
                <w:b/>
              </w:rPr>
              <w:t>Summary Details</w:t>
            </w:r>
          </w:p>
          <w:p w:rsidR="00962389" w:rsidRPr="00D77F32" w:rsidRDefault="00962389" w:rsidP="00962389">
            <w:pPr>
              <w:jc w:val="center"/>
              <w:rPr>
                <w:b/>
              </w:rPr>
            </w:pPr>
          </w:p>
        </w:tc>
        <w:tc>
          <w:tcPr>
            <w:tcW w:w="224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962389" w:rsidRPr="00D77F32" w:rsidRDefault="00962389" w:rsidP="00962389">
            <w:pPr>
              <w:jc w:val="center"/>
              <w:rPr>
                <w:b/>
              </w:rPr>
            </w:pPr>
            <w:r w:rsidRPr="00D77F32">
              <w:rPr>
                <w:b/>
              </w:rPr>
              <w:t>Classification</w:t>
            </w:r>
          </w:p>
          <w:p w:rsidR="00962389" w:rsidRPr="00D77F32" w:rsidRDefault="00962389" w:rsidP="00962389">
            <w:pPr>
              <w:jc w:val="center"/>
              <w:rPr>
                <w:i/>
              </w:rPr>
            </w:pPr>
            <w:r w:rsidRPr="00D77F32">
              <w:rPr>
                <w:i/>
              </w:rPr>
              <w:t>(design gap, control gap, process improvement)</w:t>
            </w:r>
          </w:p>
        </w:tc>
      </w:tr>
      <w:tr w:rsidR="00962389" w:rsidRPr="00CD4F32" w:rsidTr="00962389">
        <w:trPr>
          <w:trHeight w:val="238"/>
        </w:trPr>
        <w:tc>
          <w:tcPr>
            <w:tcW w:w="709" w:type="dxa"/>
            <w:tcBorders>
              <w:top w:val="single" w:sz="6" w:space="0" w:color="666666"/>
              <w:left w:val="single" w:sz="6" w:space="0" w:color="666666"/>
              <w:bottom w:val="nil"/>
              <w:right w:val="single" w:sz="6" w:space="0" w:color="666666"/>
              <w:tl2br w:val="nil"/>
              <w:tr2bl w:val="nil"/>
            </w:tcBorders>
            <w:shd w:val="clear" w:color="auto" w:fill="FFFFFF" w:themeFill="background1"/>
          </w:tcPr>
          <w:p w:rsidR="00962389" w:rsidRPr="00EF79B0" w:rsidRDefault="00962389" w:rsidP="00962389">
            <w:r w:rsidRPr="00EF79B0">
              <w:t>1</w:t>
            </w:r>
          </w:p>
        </w:tc>
        <w:tc>
          <w:tcPr>
            <w:tcW w:w="5954" w:type="dxa"/>
          </w:tcPr>
          <w:p w:rsidR="00962389" w:rsidRDefault="003F2072" w:rsidP="00E97FDB">
            <w:pPr>
              <w:rPr>
                <w:color w:val="auto"/>
              </w:rPr>
            </w:pPr>
            <w:r>
              <w:rPr>
                <w:color w:val="auto"/>
              </w:rPr>
              <w:t xml:space="preserve">As a result of changes to the regulatory reporting requirements, changes to Tagetik (reporting tool) are often made.  To ensure that the changes to Tagetik meet the requirements, the </w:t>
            </w:r>
            <w:r w:rsidRPr="003F2072">
              <w:rPr>
                <w:color w:val="auto"/>
              </w:rPr>
              <w:t>Regulatory Reporting team</w:t>
            </w:r>
            <w:r>
              <w:rPr>
                <w:color w:val="auto"/>
              </w:rPr>
              <w:t xml:space="preserve"> should</w:t>
            </w:r>
            <w:r w:rsidRPr="003F2072">
              <w:rPr>
                <w:color w:val="auto"/>
              </w:rPr>
              <w:t xml:space="preserve"> perform</w:t>
            </w:r>
            <w:r>
              <w:rPr>
                <w:color w:val="auto"/>
              </w:rPr>
              <w:t xml:space="preserve"> formal user acceptance testing (</w:t>
            </w:r>
            <w:r w:rsidR="00B827C7">
              <w:rPr>
                <w:color w:val="auto"/>
              </w:rPr>
              <w:t>UAT) on Tagetik software</w:t>
            </w:r>
            <w:r>
              <w:rPr>
                <w:color w:val="auto"/>
              </w:rPr>
              <w:t xml:space="preserve">, comparing </w:t>
            </w:r>
            <w:r w:rsidRPr="003F2072">
              <w:rPr>
                <w:color w:val="auto"/>
              </w:rPr>
              <w:t>forms</w:t>
            </w:r>
            <w:r w:rsidR="00E97FDB">
              <w:rPr>
                <w:color w:val="auto"/>
              </w:rPr>
              <w:t xml:space="preserve"> and templates in Tagetik with r</w:t>
            </w:r>
            <w:r w:rsidRPr="003F2072">
              <w:rPr>
                <w:color w:val="auto"/>
              </w:rPr>
              <w:t>egulatory</w:t>
            </w:r>
            <w:r w:rsidR="00E97FDB">
              <w:rPr>
                <w:color w:val="auto"/>
              </w:rPr>
              <w:t xml:space="preserve"> reporting r</w:t>
            </w:r>
            <w:r w:rsidRPr="003F2072">
              <w:rPr>
                <w:color w:val="auto"/>
              </w:rPr>
              <w:t>equirements.</w:t>
            </w:r>
            <w:r>
              <w:rPr>
                <w:color w:val="auto"/>
              </w:rPr>
              <w:t xml:space="preserve"> </w:t>
            </w:r>
          </w:p>
          <w:p w:rsidR="00E97FDB" w:rsidRDefault="00E97FDB" w:rsidP="00E97FDB">
            <w:pPr>
              <w:rPr>
                <w:color w:val="auto"/>
              </w:rPr>
            </w:pPr>
          </w:p>
          <w:p w:rsidR="00E97FDB" w:rsidRPr="003F2072" w:rsidRDefault="00E97FDB" w:rsidP="00E97FDB">
            <w:pPr>
              <w:rPr>
                <w:color w:val="auto"/>
              </w:rPr>
            </w:pPr>
            <w:r>
              <w:rPr>
                <w:color w:val="auto"/>
              </w:rPr>
              <w:t xml:space="preserve">The </w:t>
            </w:r>
            <w:r w:rsidRPr="00E97FDB">
              <w:rPr>
                <w:color w:val="auto"/>
              </w:rPr>
              <w:t xml:space="preserve">Regulatory Reporting Manager </w:t>
            </w:r>
            <w:r>
              <w:rPr>
                <w:color w:val="auto"/>
              </w:rPr>
              <w:t xml:space="preserve">should </w:t>
            </w:r>
            <w:r w:rsidRPr="00E97FDB">
              <w:rPr>
                <w:color w:val="auto"/>
              </w:rPr>
              <w:t>re</w:t>
            </w:r>
            <w:r>
              <w:rPr>
                <w:color w:val="auto"/>
              </w:rPr>
              <w:t>view and sign</w:t>
            </w:r>
            <w:r w:rsidRPr="00E97FDB">
              <w:rPr>
                <w:color w:val="auto"/>
              </w:rPr>
              <w:t xml:space="preserve"> </w:t>
            </w:r>
            <w:r>
              <w:rPr>
                <w:color w:val="auto"/>
              </w:rPr>
              <w:t>off the UAT testing and approve</w:t>
            </w:r>
            <w:r w:rsidRPr="00E97FDB">
              <w:rPr>
                <w:color w:val="auto"/>
              </w:rPr>
              <w:t xml:space="preserve"> Ta</w:t>
            </w:r>
            <w:r>
              <w:rPr>
                <w:color w:val="auto"/>
              </w:rPr>
              <w:t>getik updates where appropriate before the using the updated software for regulatory reporting.</w:t>
            </w:r>
          </w:p>
        </w:tc>
        <w:tc>
          <w:tcPr>
            <w:tcW w:w="2247" w:type="dxa"/>
          </w:tcPr>
          <w:p w:rsidR="00962389" w:rsidRPr="00EF79B0" w:rsidRDefault="00962389" w:rsidP="00962389">
            <w:pPr>
              <w:rPr>
                <w:color w:val="auto"/>
                <w:sz w:val="24"/>
                <w:szCs w:val="24"/>
              </w:rPr>
            </w:pPr>
            <w:r w:rsidRPr="002E4327">
              <w:rPr>
                <w:color w:val="auto"/>
              </w:rPr>
              <w:t>control gap</w:t>
            </w:r>
          </w:p>
        </w:tc>
      </w:tr>
      <w:tr w:rsidR="00962389" w:rsidRPr="00CD4F32" w:rsidTr="00962389">
        <w:trPr>
          <w:trHeight w:val="238"/>
        </w:trPr>
        <w:tc>
          <w:tcPr>
            <w:tcW w:w="709" w:type="dxa"/>
            <w:tcBorders>
              <w:left w:val="single" w:sz="6" w:space="0" w:color="666666"/>
              <w:right w:val="single" w:sz="6" w:space="0" w:color="666666"/>
              <w:tl2br w:val="nil"/>
              <w:tr2bl w:val="nil"/>
            </w:tcBorders>
            <w:shd w:val="clear" w:color="auto" w:fill="FFFFFF" w:themeFill="background1"/>
          </w:tcPr>
          <w:p w:rsidR="00962389" w:rsidRPr="009A17FE" w:rsidRDefault="00962389" w:rsidP="00962389">
            <w:r>
              <w:t>2</w:t>
            </w:r>
          </w:p>
        </w:tc>
        <w:tc>
          <w:tcPr>
            <w:tcW w:w="5954" w:type="dxa"/>
          </w:tcPr>
          <w:p w:rsidR="00962389" w:rsidRPr="003F2072" w:rsidRDefault="00E97FDB" w:rsidP="00E97FDB">
            <w:pPr>
              <w:rPr>
                <w:color w:val="auto"/>
              </w:rPr>
            </w:pPr>
            <w:r>
              <w:rPr>
                <w:color w:val="auto"/>
              </w:rPr>
              <w:t xml:space="preserve">The </w:t>
            </w:r>
            <w:r w:rsidRPr="00E97FDB">
              <w:rPr>
                <w:color w:val="auto"/>
              </w:rPr>
              <w:t>Regulatory Reporting Manager</w:t>
            </w:r>
            <w:r>
              <w:rPr>
                <w:color w:val="auto"/>
              </w:rPr>
              <w:t xml:space="preserve"> should review</w:t>
            </w:r>
            <w:r w:rsidRPr="00E97FDB">
              <w:rPr>
                <w:color w:val="auto"/>
              </w:rPr>
              <w:t xml:space="preserve"> </w:t>
            </w:r>
            <w:r>
              <w:rPr>
                <w:color w:val="auto"/>
              </w:rPr>
              <w:t>and sign off</w:t>
            </w:r>
            <w:r w:rsidRPr="00E97FDB">
              <w:rPr>
                <w:color w:val="auto"/>
              </w:rPr>
              <w:t xml:space="preserve"> all manual adjustments made in Tagetik</w:t>
            </w:r>
            <w:r>
              <w:rPr>
                <w:color w:val="auto"/>
              </w:rPr>
              <w:t xml:space="preserve"> to ensure the manual journals or adjustments are valid.</w:t>
            </w:r>
          </w:p>
        </w:tc>
        <w:tc>
          <w:tcPr>
            <w:tcW w:w="2247" w:type="dxa"/>
          </w:tcPr>
          <w:p w:rsidR="00962389" w:rsidRPr="002E4327" w:rsidRDefault="00E97FDB" w:rsidP="00962389">
            <w:r w:rsidRPr="002E4327">
              <w:rPr>
                <w:color w:val="auto"/>
              </w:rPr>
              <w:t>control gap</w:t>
            </w:r>
          </w:p>
        </w:tc>
      </w:tr>
    </w:tbl>
    <w:p w:rsidR="00962389" w:rsidRDefault="00962389" w:rsidP="00302505">
      <w:pPr>
        <w:jc w:val="both"/>
        <w:rPr>
          <w:color w:val="auto"/>
        </w:rPr>
      </w:pPr>
    </w:p>
    <w:p w:rsidR="00ED0290" w:rsidRPr="00B24194" w:rsidRDefault="00ED0290" w:rsidP="00302505">
      <w:pPr>
        <w:jc w:val="both"/>
        <w:rPr>
          <w:color w:val="auto"/>
        </w:rPr>
      </w:pPr>
    </w:p>
    <w:p w:rsidR="00E707D7" w:rsidRPr="00576471" w:rsidRDefault="00E707D7" w:rsidP="00552CC5">
      <w:pPr>
        <w:pStyle w:val="Heading1"/>
        <w:numPr>
          <w:ilvl w:val="0"/>
          <w:numId w:val="47"/>
        </w:numPr>
        <w:rPr>
          <w:rFonts w:ascii="Verdana" w:hAnsi="Verdana"/>
          <w:b/>
          <w:color w:val="C00000"/>
          <w:sz w:val="20"/>
        </w:rPr>
      </w:pPr>
      <w:bookmarkStart w:id="3" w:name="_Toc493250525"/>
      <w:r w:rsidRPr="00576471">
        <w:rPr>
          <w:rFonts w:ascii="Verdana" w:hAnsi="Verdana"/>
          <w:b/>
          <w:color w:val="C00000"/>
          <w:sz w:val="20"/>
        </w:rPr>
        <w:t>Future Development Requirements</w:t>
      </w:r>
      <w:bookmarkEnd w:id="3"/>
    </w:p>
    <w:p w:rsidR="0087562A" w:rsidRDefault="00B827C7" w:rsidP="00ED0290">
      <w:pPr>
        <w:jc w:val="both"/>
        <w:rPr>
          <w:color w:val="auto"/>
        </w:rPr>
      </w:pPr>
      <w:r>
        <w:rPr>
          <w:color w:val="auto"/>
        </w:rPr>
        <w:t xml:space="preserve">Regulatory reporting Manager is currently reviewing CBI reporting requirements </w:t>
      </w:r>
      <w:r w:rsidR="0021551B">
        <w:rPr>
          <w:color w:val="auto"/>
        </w:rPr>
        <w:t xml:space="preserve">for </w:t>
      </w:r>
      <w:r>
        <w:rPr>
          <w:color w:val="auto"/>
        </w:rPr>
        <w:t>EIC. This is likely to result in some development requirements to enable EIC 2017 Q4</w:t>
      </w:r>
      <w:r w:rsidR="0021551B">
        <w:rPr>
          <w:color w:val="auto"/>
        </w:rPr>
        <w:t xml:space="preserve"> solvency II</w:t>
      </w:r>
      <w:r>
        <w:rPr>
          <w:color w:val="auto"/>
        </w:rPr>
        <w:t xml:space="preserve"> reporting as from Q1 2018.</w:t>
      </w:r>
    </w:p>
    <w:p w:rsidR="00ED0290" w:rsidRDefault="00ED0290" w:rsidP="00ED0290">
      <w:pPr>
        <w:jc w:val="both"/>
        <w:rPr>
          <w:color w:val="auto"/>
        </w:rPr>
      </w:pPr>
    </w:p>
    <w:p w:rsidR="00ED0290" w:rsidRPr="00ED0290" w:rsidRDefault="00ED0290" w:rsidP="00ED0290">
      <w:pPr>
        <w:jc w:val="both"/>
        <w:rPr>
          <w:color w:val="auto"/>
        </w:rPr>
      </w:pPr>
    </w:p>
    <w:p w:rsidR="0080429E" w:rsidRPr="00576471" w:rsidRDefault="0080429E" w:rsidP="00552CC5">
      <w:pPr>
        <w:pStyle w:val="Heading1"/>
        <w:numPr>
          <w:ilvl w:val="0"/>
          <w:numId w:val="47"/>
        </w:numPr>
        <w:rPr>
          <w:rFonts w:ascii="Verdana" w:hAnsi="Verdana"/>
          <w:b/>
          <w:color w:val="C00000"/>
          <w:sz w:val="20"/>
        </w:rPr>
      </w:pPr>
      <w:bookmarkStart w:id="4" w:name="_Toc493250526"/>
      <w:r w:rsidRPr="00576471">
        <w:rPr>
          <w:rFonts w:ascii="Verdana" w:hAnsi="Verdana"/>
          <w:b/>
          <w:color w:val="C00000"/>
          <w:sz w:val="20"/>
        </w:rPr>
        <w:t>Risk Register Controls</w:t>
      </w:r>
      <w:bookmarkEnd w:id="4"/>
    </w:p>
    <w:p w:rsidR="0028435A" w:rsidRPr="00D02053" w:rsidRDefault="0028435A" w:rsidP="00302505">
      <w:pPr>
        <w:jc w:val="both"/>
        <w:rPr>
          <w:color w:val="auto"/>
        </w:rPr>
      </w:pPr>
      <w:r w:rsidRPr="00D02053">
        <w:rPr>
          <w:color w:val="auto"/>
        </w:rPr>
        <w:t xml:space="preserve">Below </w:t>
      </w:r>
      <w:r w:rsidR="00875B4D" w:rsidRPr="00D02053">
        <w:rPr>
          <w:color w:val="auto"/>
        </w:rPr>
        <w:t>is a</w:t>
      </w:r>
      <w:r w:rsidRPr="00D02053">
        <w:rPr>
          <w:color w:val="auto"/>
        </w:rPr>
        <w:t xml:space="preserve"> list of controls identified for the risk register</w:t>
      </w:r>
      <w:r w:rsidR="009A0208">
        <w:rPr>
          <w:color w:val="auto"/>
        </w:rPr>
        <w:t>.</w:t>
      </w:r>
    </w:p>
    <w:p w:rsidR="0028435A" w:rsidRPr="00D02053" w:rsidRDefault="0028435A" w:rsidP="00302505">
      <w:pPr>
        <w:jc w:val="both"/>
        <w:rPr>
          <w:color w:val="auto"/>
        </w:rPr>
      </w:pPr>
    </w:p>
    <w:tbl>
      <w:tblPr>
        <w:tblStyle w:val="TableGrid"/>
        <w:tblW w:w="8931" w:type="dxa"/>
        <w:tblInd w:w="-1310" w:type="dxa"/>
        <w:tblLook w:val="04A0" w:firstRow="1" w:lastRow="0" w:firstColumn="1" w:lastColumn="0" w:noHBand="0" w:noVBand="1"/>
      </w:tblPr>
      <w:tblGrid>
        <w:gridCol w:w="1985"/>
        <w:gridCol w:w="4678"/>
        <w:gridCol w:w="2268"/>
      </w:tblGrid>
      <w:tr w:rsidR="0028435A" w:rsidRPr="00D02053" w:rsidTr="004B7F88">
        <w:trPr>
          <w:trHeight w:val="792"/>
          <w:tblHeader/>
        </w:trPr>
        <w:tc>
          <w:tcPr>
            <w:tcW w:w="1985" w:type="dxa"/>
            <w:shd w:val="clear" w:color="auto" w:fill="D9D9D9" w:themeFill="background1" w:themeFillShade="D9"/>
            <w:hideMark/>
          </w:tcPr>
          <w:p w:rsidR="0028435A" w:rsidRPr="00D02053" w:rsidRDefault="0028435A" w:rsidP="00302505">
            <w:pPr>
              <w:jc w:val="both"/>
              <w:rPr>
                <w:b/>
                <w:color w:val="auto"/>
              </w:rPr>
            </w:pPr>
            <w:r w:rsidRPr="00D02053">
              <w:rPr>
                <w:b/>
                <w:color w:val="auto"/>
              </w:rPr>
              <w:t>POAP Major Process Objective (s)</w:t>
            </w:r>
          </w:p>
        </w:tc>
        <w:tc>
          <w:tcPr>
            <w:tcW w:w="4678" w:type="dxa"/>
            <w:shd w:val="clear" w:color="auto" w:fill="D9D9D9" w:themeFill="background1" w:themeFillShade="D9"/>
            <w:noWrap/>
            <w:hideMark/>
          </w:tcPr>
          <w:p w:rsidR="0028435A" w:rsidRPr="00D02053" w:rsidRDefault="0028435A" w:rsidP="00302505">
            <w:pPr>
              <w:jc w:val="both"/>
              <w:rPr>
                <w:b/>
                <w:color w:val="auto"/>
              </w:rPr>
            </w:pPr>
            <w:r w:rsidRPr="00D02053">
              <w:rPr>
                <w:b/>
                <w:color w:val="auto"/>
              </w:rPr>
              <w:t>Risk Register Control</w:t>
            </w:r>
          </w:p>
        </w:tc>
        <w:tc>
          <w:tcPr>
            <w:tcW w:w="2268" w:type="dxa"/>
            <w:shd w:val="clear" w:color="auto" w:fill="D9D9D9" w:themeFill="background1" w:themeFillShade="D9"/>
          </w:tcPr>
          <w:p w:rsidR="0028435A" w:rsidRPr="00D02053" w:rsidRDefault="0028435A" w:rsidP="00302505">
            <w:pPr>
              <w:jc w:val="both"/>
              <w:rPr>
                <w:b/>
                <w:color w:val="auto"/>
              </w:rPr>
            </w:pPr>
            <w:r w:rsidRPr="00D02053">
              <w:rPr>
                <w:b/>
                <w:color w:val="auto"/>
              </w:rPr>
              <w:t>Status/Comment</w:t>
            </w:r>
          </w:p>
        </w:tc>
      </w:tr>
      <w:tr w:rsidR="008D1619" w:rsidRPr="00D02053" w:rsidTr="004B7F88">
        <w:trPr>
          <w:trHeight w:val="1442"/>
        </w:trPr>
        <w:tc>
          <w:tcPr>
            <w:tcW w:w="1985" w:type="dxa"/>
          </w:tcPr>
          <w:p w:rsidR="008D1619" w:rsidRPr="00664D40" w:rsidRDefault="00305EF4" w:rsidP="004B7F88">
            <w:pPr>
              <w:rPr>
                <w:color w:val="auto"/>
              </w:rPr>
            </w:pPr>
            <w:r w:rsidRPr="00305EF4">
              <w:rPr>
                <w:color w:val="auto"/>
              </w:rPr>
              <w:t xml:space="preserve">Ensure reporting cycle is aligned with reporting requirements (instructions, milestones &amp; deliverables) </w:t>
            </w:r>
          </w:p>
          <w:p w:rsidR="008D1619" w:rsidRPr="00664D40" w:rsidRDefault="008D1619" w:rsidP="004B7F88">
            <w:pPr>
              <w:ind w:firstLine="504"/>
              <w:rPr>
                <w:color w:val="auto"/>
              </w:rPr>
            </w:pPr>
          </w:p>
        </w:tc>
        <w:tc>
          <w:tcPr>
            <w:tcW w:w="4678" w:type="dxa"/>
          </w:tcPr>
          <w:p w:rsidR="008D1619" w:rsidRPr="00664D40" w:rsidRDefault="00305EF4" w:rsidP="00402B57">
            <w:pPr>
              <w:rPr>
                <w:color w:val="auto"/>
              </w:rPr>
            </w:pPr>
            <w:r w:rsidRPr="00305EF4">
              <w:rPr>
                <w:color w:val="auto"/>
              </w:rPr>
              <w:t>In the past month, the finance returns plan has been reviewed and updated as necessary. The plan includes a list of all returns, submission date, review date, owner, reviewer and any other important information required to ensure the returns are properly submitted. No submission deadlines have been missed for all returns in the past quarter. Memos setting out each submission made in the past quarter are complete, signed off by the documented delegated sign-off authority. All submissions can b</w:t>
            </w:r>
            <w:r>
              <w:rPr>
                <w:color w:val="auto"/>
              </w:rPr>
              <w:t xml:space="preserve">e reconciled back to the plan </w:t>
            </w:r>
            <w:r w:rsidR="00402B57" w:rsidRPr="00664D40">
              <w:rPr>
                <w:color w:val="auto"/>
              </w:rPr>
              <w:t>(</w:t>
            </w:r>
            <w:r w:rsidR="00867C83">
              <w:rPr>
                <w:color w:val="auto"/>
              </w:rPr>
              <w:t>c</w:t>
            </w:r>
            <w:r w:rsidR="00731F30" w:rsidRPr="00664D40">
              <w:rPr>
                <w:color w:val="auto"/>
              </w:rPr>
              <w:t>ontrol</w:t>
            </w:r>
            <w:r w:rsidR="00402B57" w:rsidRPr="00664D40">
              <w:rPr>
                <w:color w:val="auto"/>
              </w:rPr>
              <w:t xml:space="preserve"> id # 4</w:t>
            </w:r>
            <w:r>
              <w:rPr>
                <w:color w:val="auto"/>
              </w:rPr>
              <w:t>83</w:t>
            </w:r>
            <w:r w:rsidR="008D1619" w:rsidRPr="00664D40">
              <w:rPr>
                <w:color w:val="auto"/>
              </w:rPr>
              <w:t>).</w:t>
            </w:r>
          </w:p>
        </w:tc>
        <w:tc>
          <w:tcPr>
            <w:tcW w:w="2268" w:type="dxa"/>
          </w:tcPr>
          <w:p w:rsidR="00305EF4" w:rsidRPr="00305EF4" w:rsidRDefault="001B4D2D" w:rsidP="00305EF4">
            <w:pPr>
              <w:rPr>
                <w:color w:val="auto"/>
                <w:szCs w:val="18"/>
              </w:rPr>
            </w:pPr>
            <w:r w:rsidRPr="00664D40">
              <w:rPr>
                <w:color w:val="auto"/>
              </w:rPr>
              <w:t xml:space="preserve">Current </w:t>
            </w:r>
            <w:proofErr w:type="gramStart"/>
            <w:r w:rsidRPr="00664D40">
              <w:rPr>
                <w:color w:val="auto"/>
              </w:rPr>
              <w:t xml:space="preserve">risk </w:t>
            </w:r>
            <w:r w:rsidR="00305EF4" w:rsidRPr="00664D40">
              <w:rPr>
                <w:color w:val="auto"/>
              </w:rPr>
              <w:t>register</w:t>
            </w:r>
            <w:proofErr w:type="gramEnd"/>
            <w:r w:rsidR="00305EF4">
              <w:rPr>
                <w:color w:val="auto"/>
              </w:rPr>
              <w:t xml:space="preserve"> control owned by </w:t>
            </w:r>
            <w:r w:rsidR="00305EF4" w:rsidRPr="00305EF4">
              <w:rPr>
                <w:color w:val="auto"/>
                <w:szCs w:val="18"/>
              </w:rPr>
              <w:t>Syndicate Controller</w:t>
            </w:r>
            <w:r w:rsidR="00305EF4">
              <w:rPr>
                <w:color w:val="auto"/>
                <w:szCs w:val="18"/>
              </w:rPr>
              <w:t xml:space="preserve">, </w:t>
            </w:r>
            <w:r w:rsidR="00305EF4" w:rsidRPr="00305EF4">
              <w:rPr>
                <w:color w:val="auto"/>
                <w:szCs w:val="18"/>
              </w:rPr>
              <w:t>Daragh Brennan</w:t>
            </w:r>
            <w:r w:rsidR="00305EF4">
              <w:rPr>
                <w:color w:val="auto"/>
                <w:szCs w:val="18"/>
              </w:rPr>
              <w:t>.</w:t>
            </w:r>
          </w:p>
          <w:p w:rsidR="009206EA" w:rsidRPr="00664D40" w:rsidRDefault="009206EA" w:rsidP="004B7F88">
            <w:pPr>
              <w:rPr>
                <w:color w:val="auto"/>
              </w:rPr>
            </w:pPr>
          </w:p>
          <w:p w:rsidR="008D1619" w:rsidRPr="00664D40" w:rsidRDefault="008D1619" w:rsidP="004B7F88">
            <w:pPr>
              <w:rPr>
                <w:color w:val="auto"/>
              </w:rPr>
            </w:pPr>
          </w:p>
        </w:tc>
      </w:tr>
      <w:tr w:rsidR="001B4D2D" w:rsidRPr="00D02053" w:rsidTr="004B7F88">
        <w:trPr>
          <w:trHeight w:val="1450"/>
        </w:trPr>
        <w:tc>
          <w:tcPr>
            <w:tcW w:w="1985" w:type="dxa"/>
          </w:tcPr>
          <w:p w:rsidR="00305EF4" w:rsidRPr="00664D40" w:rsidRDefault="00305EF4" w:rsidP="00305EF4">
            <w:pPr>
              <w:rPr>
                <w:color w:val="auto"/>
              </w:rPr>
            </w:pPr>
            <w:r w:rsidRPr="00305EF4">
              <w:rPr>
                <w:color w:val="auto"/>
              </w:rPr>
              <w:t xml:space="preserve">Ensure reporting cycle is aligned with reporting requirements (instructions, milestones &amp; deliverables) </w:t>
            </w:r>
          </w:p>
          <w:p w:rsidR="001B4D2D" w:rsidRPr="00664D40" w:rsidRDefault="001B4D2D" w:rsidP="004B7F88">
            <w:pPr>
              <w:rPr>
                <w:color w:val="auto"/>
              </w:rPr>
            </w:pPr>
          </w:p>
        </w:tc>
        <w:tc>
          <w:tcPr>
            <w:tcW w:w="4678" w:type="dxa"/>
          </w:tcPr>
          <w:p w:rsidR="00731F30" w:rsidRDefault="00731F30" w:rsidP="004B7F88">
            <w:pPr>
              <w:rPr>
                <w:color w:val="auto"/>
              </w:rPr>
            </w:pPr>
            <w:r w:rsidRPr="00731F30">
              <w:rPr>
                <w:color w:val="auto"/>
              </w:rPr>
              <w:t>In the past month, the SII reporting plan has been reviewed and compared against actual progress made and upcoming activity. No submission deadlines have been missed in the past quarter. The following are complete for all submissions in the quarter:</w:t>
            </w:r>
          </w:p>
          <w:p w:rsidR="00731F30" w:rsidRPr="005F2E4B" w:rsidRDefault="00731F30" w:rsidP="005F2E4B">
            <w:pPr>
              <w:pStyle w:val="ListParagraph"/>
              <w:numPr>
                <w:ilvl w:val="0"/>
                <w:numId w:val="45"/>
              </w:numPr>
              <w:rPr>
                <w:color w:val="auto"/>
              </w:rPr>
            </w:pPr>
            <w:r w:rsidRPr="005F2E4B">
              <w:rPr>
                <w:color w:val="auto"/>
              </w:rPr>
              <w:t>the quarterly reports have been reviewed by the Regulatory Review Committees</w:t>
            </w:r>
          </w:p>
          <w:p w:rsidR="00731F30" w:rsidRPr="005F2E4B" w:rsidRDefault="00731F30" w:rsidP="005F2E4B">
            <w:pPr>
              <w:pStyle w:val="ListParagraph"/>
              <w:numPr>
                <w:ilvl w:val="0"/>
                <w:numId w:val="45"/>
              </w:numPr>
              <w:rPr>
                <w:color w:val="auto"/>
              </w:rPr>
            </w:pPr>
            <w:r w:rsidRPr="005F2E4B">
              <w:rPr>
                <w:color w:val="auto"/>
              </w:rPr>
              <w:t xml:space="preserve">the reports have been reviewed by the </w:t>
            </w:r>
            <w:r w:rsidRPr="005F2E4B">
              <w:rPr>
                <w:color w:val="auto"/>
              </w:rPr>
              <w:lastRenderedPageBreak/>
              <w:t>Head of Global Finance and the Finance Director</w:t>
            </w:r>
          </w:p>
          <w:p w:rsidR="00731F30" w:rsidRPr="005F2E4B" w:rsidRDefault="00731F30" w:rsidP="005F2E4B">
            <w:pPr>
              <w:pStyle w:val="ListParagraph"/>
              <w:numPr>
                <w:ilvl w:val="0"/>
                <w:numId w:val="45"/>
              </w:numPr>
              <w:rPr>
                <w:color w:val="auto"/>
              </w:rPr>
            </w:pPr>
            <w:r w:rsidRPr="005F2E4B">
              <w:rPr>
                <w:color w:val="auto"/>
              </w:rPr>
              <w:t>the various elements of the reports have been peer reviewed</w:t>
            </w:r>
          </w:p>
          <w:p w:rsidR="00731F30" w:rsidRPr="005F2E4B" w:rsidRDefault="00731F30" w:rsidP="005F2E4B">
            <w:pPr>
              <w:pStyle w:val="ListParagraph"/>
              <w:numPr>
                <w:ilvl w:val="0"/>
                <w:numId w:val="45"/>
              </w:numPr>
              <w:rPr>
                <w:color w:val="auto"/>
              </w:rPr>
            </w:pPr>
            <w:r w:rsidRPr="005F2E4B">
              <w:rPr>
                <w:color w:val="auto"/>
              </w:rPr>
              <w:t xml:space="preserve">Key templates numbers have been reconciled to Financial accounting and/or other solvency II reports </w:t>
            </w:r>
          </w:p>
          <w:p w:rsidR="00731F30" w:rsidRPr="005F2E4B" w:rsidRDefault="00731F30" w:rsidP="005F2E4B">
            <w:pPr>
              <w:pStyle w:val="ListParagraph"/>
              <w:numPr>
                <w:ilvl w:val="0"/>
                <w:numId w:val="45"/>
              </w:numPr>
              <w:rPr>
                <w:color w:val="auto"/>
              </w:rPr>
            </w:pPr>
            <w:r w:rsidRPr="005F2E4B">
              <w:rPr>
                <w:color w:val="auto"/>
              </w:rPr>
              <w:t>Key items have been reconcile</w:t>
            </w:r>
            <w:r w:rsidR="00867C83">
              <w:rPr>
                <w:color w:val="auto"/>
              </w:rPr>
              <w:t>d within the return</w:t>
            </w:r>
          </w:p>
          <w:p w:rsidR="00731F30" w:rsidRDefault="00731F30" w:rsidP="004B7F88">
            <w:pPr>
              <w:rPr>
                <w:color w:val="auto"/>
              </w:rPr>
            </w:pPr>
          </w:p>
          <w:p w:rsidR="001B4D2D" w:rsidRPr="00664D40" w:rsidRDefault="00731F30" w:rsidP="004B7F88">
            <w:pPr>
              <w:rPr>
                <w:color w:val="auto"/>
              </w:rPr>
            </w:pPr>
            <w:r w:rsidRPr="00731F30">
              <w:rPr>
                <w:color w:val="auto"/>
              </w:rPr>
              <w:t xml:space="preserve">Evidence of review and approval is stored in a central location and can be reconciled back to the submissions and dates listed on the </w:t>
            </w:r>
            <w:r w:rsidR="00F12D44" w:rsidRPr="00731F30">
              <w:rPr>
                <w:color w:val="auto"/>
              </w:rPr>
              <w:t xml:space="preserve">plan </w:t>
            </w:r>
            <w:r w:rsidR="009206EA" w:rsidRPr="00664D40">
              <w:rPr>
                <w:color w:val="auto"/>
              </w:rPr>
              <w:t>(</w:t>
            </w:r>
            <w:r w:rsidR="00867C83">
              <w:rPr>
                <w:color w:val="auto"/>
              </w:rPr>
              <w:t>c</w:t>
            </w:r>
            <w:r w:rsidRPr="00664D40">
              <w:rPr>
                <w:color w:val="auto"/>
              </w:rPr>
              <w:t>ontrol</w:t>
            </w:r>
            <w:r w:rsidR="009206EA" w:rsidRPr="00664D40">
              <w:rPr>
                <w:color w:val="auto"/>
              </w:rPr>
              <w:t xml:space="preserve"> id # 4</w:t>
            </w:r>
            <w:r>
              <w:rPr>
                <w:color w:val="auto"/>
              </w:rPr>
              <w:t>66</w:t>
            </w:r>
            <w:r w:rsidR="001B4D2D" w:rsidRPr="00664D40">
              <w:rPr>
                <w:color w:val="auto"/>
              </w:rPr>
              <w:t>).</w:t>
            </w:r>
          </w:p>
        </w:tc>
        <w:tc>
          <w:tcPr>
            <w:tcW w:w="2268" w:type="dxa"/>
          </w:tcPr>
          <w:p w:rsidR="009206EA" w:rsidRPr="00664D40" w:rsidRDefault="00305EF4" w:rsidP="004B7F88">
            <w:pPr>
              <w:rPr>
                <w:color w:val="auto"/>
              </w:rPr>
            </w:pPr>
            <w:r w:rsidRPr="00664D40">
              <w:rPr>
                <w:color w:val="auto"/>
              </w:rPr>
              <w:lastRenderedPageBreak/>
              <w:t xml:space="preserve">Current </w:t>
            </w:r>
            <w:proofErr w:type="gramStart"/>
            <w:r w:rsidRPr="00664D40">
              <w:rPr>
                <w:color w:val="auto"/>
              </w:rPr>
              <w:t>risk register</w:t>
            </w:r>
            <w:proofErr w:type="gramEnd"/>
            <w:r>
              <w:rPr>
                <w:color w:val="auto"/>
              </w:rPr>
              <w:t xml:space="preserve"> control owned by </w:t>
            </w:r>
            <w:r w:rsidRPr="009C7F15">
              <w:rPr>
                <w:color w:val="auto"/>
              </w:rPr>
              <w:t>Regulatory Reporting Manager</w:t>
            </w:r>
            <w:r>
              <w:rPr>
                <w:color w:val="auto"/>
              </w:rPr>
              <w:t xml:space="preserve">, </w:t>
            </w:r>
            <w:r w:rsidRPr="009C7F15">
              <w:rPr>
                <w:color w:val="auto"/>
              </w:rPr>
              <w:t>Rizwan Kermali</w:t>
            </w:r>
            <w:r>
              <w:rPr>
                <w:color w:val="auto"/>
              </w:rPr>
              <w:t>.</w:t>
            </w:r>
          </w:p>
        </w:tc>
      </w:tr>
      <w:tr w:rsidR="00D02053" w:rsidRPr="00D02053" w:rsidTr="004B7F88">
        <w:trPr>
          <w:trHeight w:val="1290"/>
        </w:trPr>
        <w:tc>
          <w:tcPr>
            <w:tcW w:w="1985" w:type="dxa"/>
          </w:tcPr>
          <w:p w:rsidR="00305EF4" w:rsidRPr="00664D40" w:rsidRDefault="00305EF4" w:rsidP="00305EF4">
            <w:pPr>
              <w:rPr>
                <w:color w:val="auto"/>
              </w:rPr>
            </w:pPr>
            <w:r w:rsidRPr="00305EF4">
              <w:rPr>
                <w:color w:val="auto"/>
              </w:rPr>
              <w:lastRenderedPageBreak/>
              <w:t xml:space="preserve">Ensure reporting cycle is aligned with reporting requirements (instructions, milestones &amp; deliverables) </w:t>
            </w:r>
          </w:p>
          <w:p w:rsidR="008D1619" w:rsidRPr="00664D40" w:rsidRDefault="008D1619" w:rsidP="004B7F88">
            <w:pPr>
              <w:rPr>
                <w:color w:val="auto"/>
              </w:rPr>
            </w:pPr>
          </w:p>
        </w:tc>
        <w:tc>
          <w:tcPr>
            <w:tcW w:w="4678" w:type="dxa"/>
          </w:tcPr>
          <w:p w:rsidR="008D1619" w:rsidRPr="00664D40" w:rsidRDefault="00305EF4" w:rsidP="004B7F88">
            <w:pPr>
              <w:rPr>
                <w:color w:val="auto"/>
              </w:rPr>
            </w:pPr>
            <w:r w:rsidRPr="00305EF4">
              <w:rPr>
                <w:color w:val="auto"/>
              </w:rPr>
              <w:t>On an Annual basis, the Global Head of Finance reviews the regulatory reporting plan for the year.  On an ad-hoc basis, the Global Head of Finance helps with the agreement of sign-off dates, particularly in relation to auditors, and the delegated sign-off authorities</w:t>
            </w:r>
            <w:r>
              <w:rPr>
                <w:color w:val="auto"/>
              </w:rPr>
              <w:t xml:space="preserve"> </w:t>
            </w:r>
            <w:r w:rsidR="00867C83">
              <w:rPr>
                <w:color w:val="auto"/>
              </w:rPr>
              <w:t>(c</w:t>
            </w:r>
            <w:r w:rsidRPr="00664D40">
              <w:rPr>
                <w:color w:val="auto"/>
              </w:rPr>
              <w:t>ontrol id # 4</w:t>
            </w:r>
            <w:r>
              <w:rPr>
                <w:color w:val="auto"/>
              </w:rPr>
              <w:t>54).</w:t>
            </w:r>
          </w:p>
        </w:tc>
        <w:tc>
          <w:tcPr>
            <w:tcW w:w="2268" w:type="dxa"/>
          </w:tcPr>
          <w:p w:rsidR="009206EA" w:rsidRPr="00664D40" w:rsidRDefault="00305EF4" w:rsidP="004B7F88">
            <w:pPr>
              <w:rPr>
                <w:color w:val="auto"/>
              </w:rPr>
            </w:pPr>
            <w:r w:rsidRPr="00664D40">
              <w:rPr>
                <w:color w:val="auto"/>
              </w:rPr>
              <w:t xml:space="preserve">Current </w:t>
            </w:r>
            <w:proofErr w:type="gramStart"/>
            <w:r w:rsidRPr="00664D40">
              <w:rPr>
                <w:color w:val="auto"/>
              </w:rPr>
              <w:t>risk register</w:t>
            </w:r>
            <w:proofErr w:type="gramEnd"/>
            <w:r>
              <w:rPr>
                <w:color w:val="auto"/>
              </w:rPr>
              <w:t xml:space="preserve"> control owned by </w:t>
            </w:r>
            <w:r w:rsidRPr="009C7F15">
              <w:rPr>
                <w:color w:val="auto"/>
              </w:rPr>
              <w:t>Regulatory Reporting Manager</w:t>
            </w:r>
            <w:r>
              <w:rPr>
                <w:color w:val="auto"/>
              </w:rPr>
              <w:t xml:space="preserve">, </w:t>
            </w:r>
            <w:r w:rsidRPr="009C7F15">
              <w:rPr>
                <w:color w:val="auto"/>
              </w:rPr>
              <w:t>Rizwan Kermali</w:t>
            </w:r>
            <w:r>
              <w:rPr>
                <w:color w:val="auto"/>
              </w:rPr>
              <w:t>.</w:t>
            </w:r>
          </w:p>
        </w:tc>
      </w:tr>
      <w:tr w:rsidR="00664D40" w:rsidRPr="00D02053" w:rsidTr="004B7F88">
        <w:trPr>
          <w:trHeight w:val="1290"/>
        </w:trPr>
        <w:tc>
          <w:tcPr>
            <w:tcW w:w="1985" w:type="dxa"/>
          </w:tcPr>
          <w:p w:rsidR="00731F30" w:rsidRPr="00664D40" w:rsidRDefault="00731F30" w:rsidP="00731F30">
            <w:pPr>
              <w:rPr>
                <w:color w:val="auto"/>
              </w:rPr>
            </w:pPr>
            <w:r w:rsidRPr="00664D40">
              <w:rPr>
                <w:color w:val="auto"/>
              </w:rPr>
              <w:t xml:space="preserve">Ensure that </w:t>
            </w:r>
            <w:r>
              <w:rPr>
                <w:color w:val="auto"/>
              </w:rPr>
              <w:t xml:space="preserve">regulatory </w:t>
            </w:r>
            <w:r w:rsidRPr="00664D40">
              <w:rPr>
                <w:color w:val="auto"/>
              </w:rPr>
              <w:t>reports are appropriately prepared and reported</w:t>
            </w:r>
          </w:p>
          <w:p w:rsidR="00664D40" w:rsidRPr="00664D40" w:rsidRDefault="00664D40" w:rsidP="004B7F88">
            <w:pPr>
              <w:rPr>
                <w:color w:val="auto"/>
              </w:rPr>
            </w:pPr>
          </w:p>
        </w:tc>
        <w:tc>
          <w:tcPr>
            <w:tcW w:w="4678" w:type="dxa"/>
          </w:tcPr>
          <w:p w:rsidR="00664D40" w:rsidRPr="00664D40" w:rsidRDefault="00867C83" w:rsidP="0021551B">
            <w:pPr>
              <w:rPr>
                <w:color w:val="auto"/>
              </w:rPr>
            </w:pPr>
            <w:r w:rsidRPr="00867C83">
              <w:rPr>
                <w:color w:val="auto"/>
              </w:rPr>
              <w:t xml:space="preserve">In the last quarter the balance sheet reconciliation dashboards have been completed. Any issues arising have been escalated to the </w:t>
            </w:r>
            <w:r w:rsidR="0021551B">
              <w:rPr>
                <w:color w:val="auto"/>
              </w:rPr>
              <w:t>GHOF</w:t>
            </w:r>
            <w:r w:rsidRPr="00867C83">
              <w:rPr>
                <w:color w:val="auto"/>
              </w:rPr>
              <w:t xml:space="preserve"> and where appropriate actions are put in place to resolve and are being tracked to resolution</w:t>
            </w:r>
            <w:r>
              <w:rPr>
                <w:color w:val="auto"/>
              </w:rPr>
              <w:t xml:space="preserve"> (control id # 452).</w:t>
            </w:r>
          </w:p>
        </w:tc>
        <w:tc>
          <w:tcPr>
            <w:tcW w:w="2268" w:type="dxa"/>
          </w:tcPr>
          <w:p w:rsidR="00664D40" w:rsidRPr="00664D40" w:rsidRDefault="00867C83" w:rsidP="00867C83">
            <w:pPr>
              <w:rPr>
                <w:color w:val="auto"/>
              </w:rPr>
            </w:pPr>
            <w:r>
              <w:rPr>
                <w:color w:val="auto"/>
              </w:rPr>
              <w:t xml:space="preserve">Current </w:t>
            </w:r>
            <w:proofErr w:type="gramStart"/>
            <w:r>
              <w:rPr>
                <w:color w:val="auto"/>
              </w:rPr>
              <w:t>risk register</w:t>
            </w:r>
            <w:proofErr w:type="gramEnd"/>
            <w:r>
              <w:rPr>
                <w:color w:val="auto"/>
              </w:rPr>
              <w:t xml:space="preserve"> control owned by</w:t>
            </w:r>
            <w:r>
              <w:t xml:space="preserve"> Head of External Reporting, Kathryn Edwards.</w:t>
            </w:r>
          </w:p>
        </w:tc>
      </w:tr>
      <w:tr w:rsidR="00867C83" w:rsidRPr="00D02053" w:rsidTr="004B7F88">
        <w:trPr>
          <w:trHeight w:val="1290"/>
        </w:trPr>
        <w:tc>
          <w:tcPr>
            <w:tcW w:w="1985" w:type="dxa"/>
          </w:tcPr>
          <w:p w:rsidR="00867C83" w:rsidRPr="00664D40" w:rsidRDefault="00867C83" w:rsidP="00731F30">
            <w:pPr>
              <w:rPr>
                <w:color w:val="auto"/>
              </w:rPr>
            </w:pPr>
            <w:r w:rsidRPr="00867C83">
              <w:rPr>
                <w:color w:val="auto"/>
              </w:rPr>
              <w:t>Ensure reporting cycle is aligned with reporting requirements (instructions, milestones &amp; deliverables)</w:t>
            </w:r>
          </w:p>
        </w:tc>
        <w:tc>
          <w:tcPr>
            <w:tcW w:w="4678" w:type="dxa"/>
          </w:tcPr>
          <w:p w:rsidR="00867C83" w:rsidRPr="00664D40" w:rsidRDefault="00867C83" w:rsidP="004B7F88">
            <w:pPr>
              <w:rPr>
                <w:color w:val="auto"/>
              </w:rPr>
            </w:pPr>
            <w:r w:rsidRPr="00867C83">
              <w:rPr>
                <w:color w:val="auto"/>
              </w:rPr>
              <w:t>In the last quarter a syndicate analytical review of results has been performed by the technical reporting controller.  Where issues have arisen these were escalated to the GHOF</w:t>
            </w:r>
            <w:r>
              <w:rPr>
                <w:color w:val="auto"/>
              </w:rPr>
              <w:t xml:space="preserve"> (control id # 449). </w:t>
            </w:r>
            <w:bookmarkStart w:id="5" w:name="_GoBack"/>
            <w:bookmarkEnd w:id="5"/>
          </w:p>
        </w:tc>
        <w:tc>
          <w:tcPr>
            <w:tcW w:w="2268" w:type="dxa"/>
          </w:tcPr>
          <w:p w:rsidR="00867C83" w:rsidRDefault="00867C83" w:rsidP="00867C83">
            <w:r>
              <w:rPr>
                <w:color w:val="auto"/>
              </w:rPr>
              <w:t xml:space="preserve">Current </w:t>
            </w:r>
            <w:proofErr w:type="gramStart"/>
            <w:r>
              <w:rPr>
                <w:color w:val="auto"/>
              </w:rPr>
              <w:t>risk register</w:t>
            </w:r>
            <w:proofErr w:type="gramEnd"/>
            <w:r>
              <w:rPr>
                <w:color w:val="auto"/>
              </w:rPr>
              <w:t xml:space="preserve"> control owned by</w:t>
            </w:r>
            <w:r>
              <w:t xml:space="preserve"> Finance Manager, Niall Lillis.</w:t>
            </w:r>
          </w:p>
        </w:tc>
      </w:tr>
      <w:tr w:rsidR="00867C83" w:rsidRPr="00D02053" w:rsidTr="004B7F88">
        <w:trPr>
          <w:trHeight w:val="1290"/>
        </w:trPr>
        <w:tc>
          <w:tcPr>
            <w:tcW w:w="1985" w:type="dxa"/>
          </w:tcPr>
          <w:p w:rsidR="00867C83" w:rsidRPr="00664D40" w:rsidRDefault="00867C83" w:rsidP="00731F30">
            <w:pPr>
              <w:rPr>
                <w:color w:val="auto"/>
              </w:rPr>
            </w:pPr>
            <w:r w:rsidRPr="00867C83">
              <w:rPr>
                <w:color w:val="auto"/>
              </w:rPr>
              <w:t>Ensure Regulatory reports are appropriately authorised</w:t>
            </w:r>
          </w:p>
        </w:tc>
        <w:tc>
          <w:tcPr>
            <w:tcW w:w="4678" w:type="dxa"/>
          </w:tcPr>
          <w:p w:rsidR="00867C83" w:rsidRPr="00664D40" w:rsidRDefault="00867C83" w:rsidP="004B7F88">
            <w:pPr>
              <w:rPr>
                <w:color w:val="auto"/>
              </w:rPr>
            </w:pPr>
            <w:r w:rsidRPr="00867C83">
              <w:rPr>
                <w:color w:val="auto"/>
              </w:rPr>
              <w:t xml:space="preserve">In the last year, prior to the release of year end results, the technical reporting controller has prepared the financial statement for review by GHOF as well as the FD.   Where issues have </w:t>
            </w:r>
            <w:proofErr w:type="gramStart"/>
            <w:r w:rsidRPr="00867C83">
              <w:rPr>
                <w:color w:val="auto"/>
              </w:rPr>
              <w:t>arisen</w:t>
            </w:r>
            <w:proofErr w:type="gramEnd"/>
            <w:r w:rsidRPr="00867C83">
              <w:rPr>
                <w:color w:val="auto"/>
              </w:rPr>
              <w:t xml:space="preserve"> action plans are put in place to remedy and tracked to resolution.  Copies and mark-ups of analytical review from committees </w:t>
            </w:r>
            <w:r>
              <w:rPr>
                <w:color w:val="auto"/>
              </w:rPr>
              <w:t>are kept and filed for evidence (control id # 474)</w:t>
            </w:r>
            <w:r w:rsidR="00E176E5">
              <w:rPr>
                <w:color w:val="auto"/>
              </w:rPr>
              <w:t>.</w:t>
            </w:r>
          </w:p>
        </w:tc>
        <w:tc>
          <w:tcPr>
            <w:tcW w:w="2268" w:type="dxa"/>
          </w:tcPr>
          <w:p w:rsidR="00867C83" w:rsidRDefault="00867C83" w:rsidP="004B7F88">
            <w:r>
              <w:rPr>
                <w:color w:val="auto"/>
              </w:rPr>
              <w:t xml:space="preserve">Current </w:t>
            </w:r>
            <w:proofErr w:type="gramStart"/>
            <w:r>
              <w:rPr>
                <w:color w:val="auto"/>
              </w:rPr>
              <w:t>risk register</w:t>
            </w:r>
            <w:proofErr w:type="gramEnd"/>
            <w:r>
              <w:rPr>
                <w:color w:val="auto"/>
              </w:rPr>
              <w:t xml:space="preserve"> control owned by</w:t>
            </w:r>
            <w:r>
              <w:t xml:space="preserve"> Finance Manager, Niall Lillis.</w:t>
            </w:r>
          </w:p>
        </w:tc>
      </w:tr>
      <w:tr w:rsidR="00867C83" w:rsidRPr="00D02053" w:rsidTr="004B7F88">
        <w:trPr>
          <w:trHeight w:val="1290"/>
        </w:trPr>
        <w:tc>
          <w:tcPr>
            <w:tcW w:w="1985" w:type="dxa"/>
          </w:tcPr>
          <w:p w:rsidR="00867C83" w:rsidRPr="00867C83" w:rsidRDefault="00867C83" w:rsidP="00731F30">
            <w:pPr>
              <w:rPr>
                <w:color w:val="auto"/>
              </w:rPr>
            </w:pPr>
            <w:r w:rsidRPr="00867C83">
              <w:rPr>
                <w:color w:val="auto"/>
              </w:rPr>
              <w:t>Ensure Regulatory reports are appropriately authorised</w:t>
            </w:r>
          </w:p>
        </w:tc>
        <w:tc>
          <w:tcPr>
            <w:tcW w:w="4678" w:type="dxa"/>
          </w:tcPr>
          <w:p w:rsidR="00867C83" w:rsidRPr="00664D40" w:rsidRDefault="00E176E5" w:rsidP="00867C83">
            <w:pPr>
              <w:rPr>
                <w:color w:val="auto"/>
              </w:rPr>
            </w:pPr>
            <w:r w:rsidRPr="00E176E5">
              <w:rPr>
                <w:color w:val="auto"/>
              </w:rPr>
              <w:t xml:space="preserve">In the last six months, prior to the release of half year and year end results, the Corporate reporting manager has prepared the financial statement for review by GHOF as well as the FD.  The financial statement is subject to audit committee and board approval.  Where issues have </w:t>
            </w:r>
            <w:proofErr w:type="gramStart"/>
            <w:r w:rsidRPr="00E176E5">
              <w:rPr>
                <w:color w:val="auto"/>
              </w:rPr>
              <w:t>arisen</w:t>
            </w:r>
            <w:proofErr w:type="gramEnd"/>
            <w:r w:rsidRPr="00E176E5">
              <w:rPr>
                <w:color w:val="auto"/>
              </w:rPr>
              <w:t xml:space="preserve"> action plans are put in place to remedy and </w:t>
            </w:r>
            <w:r>
              <w:rPr>
                <w:color w:val="auto"/>
              </w:rPr>
              <w:t>tracked to resolution (control id # 462).</w:t>
            </w:r>
          </w:p>
        </w:tc>
        <w:tc>
          <w:tcPr>
            <w:tcW w:w="2268" w:type="dxa"/>
          </w:tcPr>
          <w:p w:rsidR="00867C83" w:rsidRDefault="00E176E5" w:rsidP="00E176E5">
            <w:r>
              <w:rPr>
                <w:color w:val="auto"/>
              </w:rPr>
              <w:t xml:space="preserve">Current </w:t>
            </w:r>
            <w:proofErr w:type="gramStart"/>
            <w:r>
              <w:rPr>
                <w:color w:val="auto"/>
              </w:rPr>
              <w:t>risk register</w:t>
            </w:r>
            <w:proofErr w:type="gramEnd"/>
            <w:r>
              <w:rPr>
                <w:color w:val="auto"/>
              </w:rPr>
              <w:t xml:space="preserve"> control owned by</w:t>
            </w:r>
            <w:r>
              <w:t xml:space="preserve"> Group Reporting Manager, John Dunne.</w:t>
            </w:r>
          </w:p>
        </w:tc>
      </w:tr>
    </w:tbl>
    <w:p w:rsidR="005F7F6D" w:rsidRDefault="005F7F6D" w:rsidP="00ED0290">
      <w:pPr>
        <w:spacing w:line="240" w:lineRule="auto"/>
        <w:rPr>
          <w:rFonts w:ascii="Times New Roman" w:hAnsi="Times New Roman"/>
          <w:color w:val="auto"/>
          <w:sz w:val="28"/>
        </w:rPr>
      </w:pPr>
    </w:p>
    <w:sectPr w:rsidR="005F7F6D" w:rsidSect="005F7F6D">
      <w:headerReference w:type="default" r:id="rId14"/>
      <w:footerReference w:type="even" r:id="rId15"/>
      <w:footerReference w:type="default" r:id="rId16"/>
      <w:pgSz w:w="11906" w:h="16838" w:code="9"/>
      <w:pgMar w:top="720" w:right="1440" w:bottom="720" w:left="3170" w:header="720" w:footer="720" w:gutter="0"/>
      <w:cols w:space="7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7C7" w:rsidRDefault="00B827C7">
      <w:r>
        <w:separator/>
      </w:r>
    </w:p>
  </w:endnote>
  <w:endnote w:type="continuationSeparator" w:id="0">
    <w:p w:rsidR="00B827C7" w:rsidRDefault="00B8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7C7" w:rsidRDefault="00B827C7" w:rsidP="00383E50">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827C7" w:rsidRDefault="00B827C7" w:rsidP="000639C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7C7" w:rsidRPr="000639C7" w:rsidRDefault="00B827C7" w:rsidP="000639C7">
    <w:pPr>
      <w:framePr w:wrap="around" w:vAnchor="text" w:hAnchor="margin" w:xAlign="right" w:y="321"/>
      <w:rPr>
        <w:rStyle w:val="PageNumber"/>
      </w:rPr>
    </w:pPr>
    <w:r w:rsidRPr="000639C7">
      <w:rPr>
        <w:rStyle w:val="PageNumber"/>
      </w:rPr>
      <w:fldChar w:fldCharType="begin"/>
    </w:r>
    <w:r w:rsidRPr="000639C7">
      <w:rPr>
        <w:rStyle w:val="PageNumber"/>
      </w:rPr>
      <w:instrText xml:space="preserve">PAGE  </w:instrText>
    </w:r>
    <w:r w:rsidRPr="000639C7">
      <w:rPr>
        <w:rStyle w:val="PageNumber"/>
      </w:rPr>
      <w:fldChar w:fldCharType="separate"/>
    </w:r>
    <w:r w:rsidR="0021551B">
      <w:rPr>
        <w:rStyle w:val="PageNumber"/>
        <w:noProof/>
      </w:rPr>
      <w:t>3</w:t>
    </w:r>
    <w:r w:rsidRPr="000639C7">
      <w:rPr>
        <w:rStyle w:val="PageNumber"/>
      </w:rPr>
      <w:fldChar w:fldCharType="end"/>
    </w:r>
  </w:p>
  <w:p w:rsidR="00B827C7" w:rsidRPr="008E21FE" w:rsidRDefault="00B827C7" w:rsidP="000639C7">
    <w:pPr>
      <w:ind w:right="3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7C7" w:rsidRDefault="00B827C7">
      <w:r>
        <w:separator/>
      </w:r>
    </w:p>
  </w:footnote>
  <w:footnote w:type="continuationSeparator" w:id="0">
    <w:p w:rsidR="00B827C7" w:rsidRDefault="00B82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7C7" w:rsidRPr="00DE2CF6" w:rsidRDefault="00B827C7" w:rsidP="006F7478">
    <w:pPr>
      <w:tabs>
        <w:tab w:val="left" w:pos="2622"/>
        <w:tab w:val="right" w:pos="9630"/>
      </w:tabs>
      <w:rPr>
        <w:b/>
        <w:color w:val="C00000"/>
        <w:sz w:val="24"/>
        <w:szCs w:val="24"/>
      </w:rPr>
    </w:pPr>
    <w:r w:rsidRPr="00DE2CF6">
      <w:rPr>
        <w:b/>
        <w:noProof/>
        <w:color w:val="C00000"/>
        <w:sz w:val="24"/>
        <w:szCs w:val="24"/>
      </w:rPr>
      <w:drawing>
        <wp:anchor distT="0" distB="0" distL="114300" distR="114300" simplePos="0" relativeHeight="251657728" behindDoc="0" locked="0" layoutInCell="1" allowOverlap="1" wp14:anchorId="26DCF590" wp14:editId="05C54E56">
          <wp:simplePos x="0" y="0"/>
          <wp:positionH relativeFrom="column">
            <wp:posOffset>-2089150</wp:posOffset>
          </wp:positionH>
          <wp:positionV relativeFrom="paragraph">
            <wp:posOffset>294640</wp:posOffset>
          </wp:positionV>
          <wp:extent cx="7709535" cy="819785"/>
          <wp:effectExtent l="0" t="0" r="5715" b="0"/>
          <wp:wrapSquare wrapText="bothSides"/>
          <wp:docPr id="8" name="Picture 8" descr="beazley_logo_A4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azley_logo_A4_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9535" cy="819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CF6">
      <w:rPr>
        <w:b/>
        <w:color w:val="C00000"/>
        <w:sz w:val="24"/>
        <w:szCs w:val="24"/>
      </w:rPr>
      <w:t>Regulatory Reporting Process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FC0920"/>
    <w:lvl w:ilvl="0">
      <w:start w:val="1"/>
      <w:numFmt w:val="decimal"/>
      <w:lvlText w:val="%1."/>
      <w:lvlJc w:val="left"/>
      <w:pPr>
        <w:tabs>
          <w:tab w:val="num" w:pos="1492"/>
        </w:tabs>
        <w:ind w:left="1492" w:hanging="360"/>
      </w:pPr>
    </w:lvl>
  </w:abstractNum>
  <w:abstractNum w:abstractNumId="1">
    <w:nsid w:val="FFFFFF7D"/>
    <w:multiLevelType w:val="singleLevel"/>
    <w:tmpl w:val="79B2088A"/>
    <w:lvl w:ilvl="0">
      <w:start w:val="1"/>
      <w:numFmt w:val="decimal"/>
      <w:lvlText w:val="%1."/>
      <w:lvlJc w:val="left"/>
      <w:pPr>
        <w:tabs>
          <w:tab w:val="num" w:pos="1209"/>
        </w:tabs>
        <w:ind w:left="1209" w:hanging="360"/>
      </w:pPr>
    </w:lvl>
  </w:abstractNum>
  <w:abstractNum w:abstractNumId="2">
    <w:nsid w:val="FFFFFF7E"/>
    <w:multiLevelType w:val="singleLevel"/>
    <w:tmpl w:val="98EE930E"/>
    <w:lvl w:ilvl="0">
      <w:start w:val="1"/>
      <w:numFmt w:val="decimal"/>
      <w:lvlText w:val="%1."/>
      <w:lvlJc w:val="left"/>
      <w:pPr>
        <w:tabs>
          <w:tab w:val="num" w:pos="926"/>
        </w:tabs>
        <w:ind w:left="926" w:hanging="360"/>
      </w:pPr>
    </w:lvl>
  </w:abstractNum>
  <w:abstractNum w:abstractNumId="3">
    <w:nsid w:val="FFFFFF7F"/>
    <w:multiLevelType w:val="singleLevel"/>
    <w:tmpl w:val="F856AA5A"/>
    <w:lvl w:ilvl="0">
      <w:start w:val="1"/>
      <w:numFmt w:val="decimal"/>
      <w:lvlText w:val="%1."/>
      <w:lvlJc w:val="left"/>
      <w:pPr>
        <w:tabs>
          <w:tab w:val="num" w:pos="643"/>
        </w:tabs>
        <w:ind w:left="643" w:hanging="360"/>
      </w:pPr>
    </w:lvl>
  </w:abstractNum>
  <w:abstractNum w:abstractNumId="4">
    <w:nsid w:val="FFFFFF80"/>
    <w:multiLevelType w:val="singleLevel"/>
    <w:tmpl w:val="9ABE0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AA5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64A7B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A21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6DE7A32"/>
    <w:lvl w:ilvl="0">
      <w:start w:val="1"/>
      <w:numFmt w:val="decimal"/>
      <w:lvlText w:val="%1."/>
      <w:lvlJc w:val="left"/>
      <w:pPr>
        <w:tabs>
          <w:tab w:val="num" w:pos="360"/>
        </w:tabs>
        <w:ind w:left="360" w:hanging="360"/>
      </w:pPr>
    </w:lvl>
  </w:abstractNum>
  <w:abstractNum w:abstractNumId="9">
    <w:nsid w:val="FFFFFF89"/>
    <w:multiLevelType w:val="singleLevel"/>
    <w:tmpl w:val="035AFA38"/>
    <w:lvl w:ilvl="0">
      <w:start w:val="1"/>
      <w:numFmt w:val="bullet"/>
      <w:lvlText w:val=""/>
      <w:lvlJc w:val="left"/>
      <w:pPr>
        <w:tabs>
          <w:tab w:val="num" w:pos="360"/>
        </w:tabs>
        <w:ind w:left="360" w:hanging="360"/>
      </w:pPr>
      <w:rPr>
        <w:rFonts w:ascii="Symbol" w:hAnsi="Symbol" w:hint="default"/>
      </w:rPr>
    </w:lvl>
  </w:abstractNum>
  <w:abstractNum w:abstractNumId="10">
    <w:nsid w:val="00A84870"/>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14F63C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B7C5772"/>
    <w:multiLevelType w:val="hybridMultilevel"/>
    <w:tmpl w:val="C9069F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0BEC1C51"/>
    <w:multiLevelType w:val="singleLevel"/>
    <w:tmpl w:val="52B68D00"/>
    <w:lvl w:ilvl="0">
      <w:start w:val="1"/>
      <w:numFmt w:val="bullet"/>
      <w:lvlText w:val=""/>
      <w:lvlJc w:val="left"/>
      <w:pPr>
        <w:tabs>
          <w:tab w:val="num" w:pos="360"/>
        </w:tabs>
        <w:ind w:left="284" w:hanging="284"/>
      </w:pPr>
      <w:rPr>
        <w:rFonts w:ascii="Symbol" w:hAnsi="Symbol" w:hint="default"/>
        <w:sz w:val="16"/>
      </w:rPr>
    </w:lvl>
  </w:abstractNum>
  <w:abstractNum w:abstractNumId="14">
    <w:nsid w:val="14873B8A"/>
    <w:multiLevelType w:val="hybridMultilevel"/>
    <w:tmpl w:val="CB261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830BD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E9C6B34"/>
    <w:multiLevelType w:val="multilevel"/>
    <w:tmpl w:val="E0BC12A4"/>
    <w:numStyleLink w:val="NumberedBullets"/>
  </w:abstractNum>
  <w:abstractNum w:abstractNumId="17">
    <w:nsid w:val="216D0ECB"/>
    <w:multiLevelType w:val="hybridMultilevel"/>
    <w:tmpl w:val="6C1603A8"/>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4B8608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677658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26C9217F"/>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2B035B97"/>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2CEC0C91"/>
    <w:multiLevelType w:val="hybridMultilevel"/>
    <w:tmpl w:val="334EA224"/>
    <w:lvl w:ilvl="0" w:tplc="BC56D84A">
      <w:start w:val="1"/>
      <w:numFmt w:val="lowerRoman"/>
      <w:lvlText w:val="%1."/>
      <w:lvlJc w:val="left"/>
      <w:pPr>
        <w:ind w:left="1080" w:hanging="720"/>
      </w:pPr>
      <w:rPr>
        <w:rFonts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DD155F5"/>
    <w:multiLevelType w:val="hybridMultilevel"/>
    <w:tmpl w:val="E55A667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2F575EA7"/>
    <w:multiLevelType w:val="hybridMultilevel"/>
    <w:tmpl w:val="89947534"/>
    <w:lvl w:ilvl="0" w:tplc="AA9821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1666075"/>
    <w:multiLevelType w:val="hybridMultilevel"/>
    <w:tmpl w:val="5CAC9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544399F"/>
    <w:multiLevelType w:val="hybridMultilevel"/>
    <w:tmpl w:val="8E10A4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386F3948"/>
    <w:multiLevelType w:val="hybridMultilevel"/>
    <w:tmpl w:val="6E32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02D2CF6"/>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2EB00E1"/>
    <w:multiLevelType w:val="multilevel"/>
    <w:tmpl w:val="E0BC12A4"/>
    <w:styleLink w:val="NumberedBullets"/>
    <w:lvl w:ilvl="0">
      <w:start w:val="1"/>
      <w:numFmt w:val="decimal"/>
      <w:lvlText w:val="%1."/>
      <w:lvlJc w:val="left"/>
      <w:pPr>
        <w:tabs>
          <w:tab w:val="num" w:pos="720"/>
        </w:tabs>
        <w:ind w:left="720" w:hanging="360"/>
      </w:pPr>
      <w:rPr>
        <w:rFonts w:ascii="Verdana" w:hAnsi="Verdana" w:hint="default"/>
        <w:color w:val="000000"/>
        <w:sz w:val="18"/>
      </w:rPr>
    </w:lvl>
    <w:lvl w:ilvl="1">
      <w:start w:val="1"/>
      <w:numFmt w:val="lowerLetter"/>
      <w:lvlText w:val="%2."/>
      <w:lvlJc w:val="left"/>
      <w:pPr>
        <w:tabs>
          <w:tab w:val="num" w:pos="1080"/>
        </w:tabs>
        <w:ind w:left="1080" w:hanging="360"/>
      </w:pPr>
      <w:rPr>
        <w:rFonts w:ascii="Verdana" w:hAnsi="Verdana" w:hint="default"/>
        <w:color w:val="000000"/>
        <w:sz w:val="18"/>
      </w:rPr>
    </w:lvl>
    <w:lvl w:ilvl="2">
      <w:start w:val="1"/>
      <w:numFmt w:val="lowerRoman"/>
      <w:lvlText w:val="%3."/>
      <w:lvlJc w:val="left"/>
      <w:pPr>
        <w:tabs>
          <w:tab w:val="num" w:pos="1440"/>
        </w:tabs>
        <w:ind w:left="1440" w:hanging="360"/>
      </w:pPr>
      <w:rPr>
        <w:rFonts w:ascii="Verdana" w:hAnsi="Verdana" w:hint="default"/>
        <w:sz w:val="18"/>
      </w:rPr>
    </w:lvl>
    <w:lvl w:ilvl="3">
      <w:start w:val="1"/>
      <w:numFmt w:val="decimal"/>
      <w:lvlText w:val="%4."/>
      <w:lvlJc w:val="left"/>
      <w:pPr>
        <w:tabs>
          <w:tab w:val="num" w:pos="2880"/>
        </w:tabs>
        <w:ind w:left="2880" w:hanging="360"/>
      </w:pPr>
      <w:rPr>
        <w:rFonts w:ascii="Franklin Gothic Book" w:hAnsi="Franklin Gothic Book" w:hint="default"/>
        <w:sz w:val="20"/>
      </w:rPr>
    </w:lvl>
    <w:lvl w:ilvl="4">
      <w:start w:val="1"/>
      <w:numFmt w:val="lowerLetter"/>
      <w:lvlText w:val="%5."/>
      <w:lvlJc w:val="left"/>
      <w:pPr>
        <w:tabs>
          <w:tab w:val="num" w:pos="3600"/>
        </w:tabs>
        <w:ind w:left="3600" w:hanging="360"/>
      </w:pPr>
      <w:rPr>
        <w:rFonts w:ascii="Franklin Gothic Book" w:hAnsi="Franklin Gothic Book" w:hint="default"/>
        <w:sz w:val="20"/>
      </w:rPr>
    </w:lvl>
    <w:lvl w:ilvl="5">
      <w:start w:val="1"/>
      <w:numFmt w:val="lowerRoman"/>
      <w:lvlText w:val="%6."/>
      <w:lvlJc w:val="right"/>
      <w:pPr>
        <w:tabs>
          <w:tab w:val="num" w:pos="4320"/>
        </w:tabs>
        <w:ind w:left="4320" w:hanging="180"/>
      </w:pPr>
      <w:rPr>
        <w:rFonts w:ascii="Franklin Gothic Book" w:hAnsi="Franklin Gothic Book" w:hint="default"/>
        <w:sz w:val="20"/>
      </w:rPr>
    </w:lvl>
    <w:lvl w:ilvl="6">
      <w:start w:val="1"/>
      <w:numFmt w:val="decimal"/>
      <w:lvlText w:val="%7."/>
      <w:lvlJc w:val="left"/>
      <w:pPr>
        <w:tabs>
          <w:tab w:val="num" w:pos="5040"/>
        </w:tabs>
        <w:ind w:left="5040" w:hanging="360"/>
      </w:pPr>
      <w:rPr>
        <w:rFonts w:ascii="Franklin Gothic Book" w:hAnsi="Franklin Gothic Book" w:hint="default"/>
        <w:sz w:val="20"/>
      </w:rPr>
    </w:lvl>
    <w:lvl w:ilvl="7">
      <w:start w:val="1"/>
      <w:numFmt w:val="lowerLetter"/>
      <w:lvlText w:val="%8."/>
      <w:lvlJc w:val="left"/>
      <w:pPr>
        <w:tabs>
          <w:tab w:val="num" w:pos="5760"/>
        </w:tabs>
        <w:ind w:left="5760" w:hanging="360"/>
      </w:pPr>
      <w:rPr>
        <w:rFonts w:ascii="Franklin Gothic Book" w:hAnsi="Franklin Gothic Book" w:hint="default"/>
        <w:sz w:val="20"/>
      </w:rPr>
    </w:lvl>
    <w:lvl w:ilvl="8">
      <w:start w:val="1"/>
      <w:numFmt w:val="lowerRoman"/>
      <w:lvlText w:val="%9."/>
      <w:lvlJc w:val="right"/>
      <w:pPr>
        <w:tabs>
          <w:tab w:val="num" w:pos="6480"/>
        </w:tabs>
        <w:ind w:left="6480" w:hanging="180"/>
      </w:pPr>
      <w:rPr>
        <w:rFonts w:ascii="Franklin Gothic Book" w:hAnsi="Franklin Gothic Book" w:hint="default"/>
        <w:sz w:val="20"/>
      </w:rPr>
    </w:lvl>
  </w:abstractNum>
  <w:abstractNum w:abstractNumId="30">
    <w:nsid w:val="434A366F"/>
    <w:multiLevelType w:val="hybridMultilevel"/>
    <w:tmpl w:val="1016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AAD1A53"/>
    <w:multiLevelType w:val="multilevel"/>
    <w:tmpl w:val="981E337C"/>
    <w:numStyleLink w:val="SquareBullet"/>
  </w:abstractNum>
  <w:abstractNum w:abstractNumId="32">
    <w:nsid w:val="4FF94CF3"/>
    <w:multiLevelType w:val="hybridMultilevel"/>
    <w:tmpl w:val="E42CE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0102E1B"/>
    <w:multiLevelType w:val="hybridMultilevel"/>
    <w:tmpl w:val="5C767666"/>
    <w:lvl w:ilvl="0" w:tplc="CBE81210">
      <w:start w:val="1"/>
      <w:numFmt w:val="decimal"/>
      <w:lvlText w:val="%1."/>
      <w:lvlJc w:val="left"/>
      <w:pPr>
        <w:ind w:left="72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3C33645"/>
    <w:multiLevelType w:val="hybridMultilevel"/>
    <w:tmpl w:val="472A8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nsid w:val="5435317F"/>
    <w:multiLevelType w:val="multilevel"/>
    <w:tmpl w:val="08090021"/>
    <w:lvl w:ilvl="0">
      <w:start w:val="1"/>
      <w:numFmt w:val="bullet"/>
      <w:lvlText w:val=""/>
      <w:lvlJc w:val="left"/>
      <w:pPr>
        <w:tabs>
          <w:tab w:val="num" w:pos="720"/>
        </w:tabs>
        <w:ind w:left="720" w:hanging="360"/>
      </w:pPr>
      <w:rPr>
        <w:rFonts w:ascii="Wingdings" w:hAnsi="Wingdings" w:hint="default"/>
        <w:color w:val="000000"/>
        <w:sz w:val="19"/>
      </w:rPr>
    </w:lvl>
    <w:lvl w:ilvl="1">
      <w:start w:val="1"/>
      <w:numFmt w:val="bullet"/>
      <w:lvlText w:val=""/>
      <w:lvlJc w:val="left"/>
      <w:pPr>
        <w:tabs>
          <w:tab w:val="num" w:pos="1080"/>
        </w:tabs>
        <w:ind w:left="1080" w:hanging="360"/>
      </w:pPr>
      <w:rPr>
        <w:rFonts w:ascii="Wingdings" w:hAnsi="Wingdings" w:hint="default"/>
        <w:color w:val="000000"/>
        <w:sz w:val="19"/>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6">
    <w:nsid w:val="55DD34C1"/>
    <w:multiLevelType w:val="multilevel"/>
    <w:tmpl w:val="E0BC12A4"/>
    <w:numStyleLink w:val="NumberedBullets"/>
  </w:abstractNum>
  <w:abstractNum w:abstractNumId="37">
    <w:nsid w:val="57121A08"/>
    <w:multiLevelType w:val="multilevel"/>
    <w:tmpl w:val="981E337C"/>
    <w:styleLink w:val="SquareBullet"/>
    <w:lvl w:ilvl="0">
      <w:start w:val="1"/>
      <w:numFmt w:val="bullet"/>
      <w:lvlText w:val=""/>
      <w:lvlJc w:val="left"/>
      <w:pPr>
        <w:tabs>
          <w:tab w:val="num" w:pos="720"/>
        </w:tabs>
        <w:ind w:left="720" w:hanging="360"/>
      </w:pPr>
      <w:rPr>
        <w:rFonts w:ascii="Wingdings 2" w:hAnsi="Wingdings 2" w:hint="default"/>
        <w:color w:val="CE118C"/>
        <w:sz w:val="20"/>
      </w:rPr>
    </w:lvl>
    <w:lvl w:ilvl="1">
      <w:start w:val="1"/>
      <w:numFmt w:val="bullet"/>
      <w:lvlText w:val=""/>
      <w:lvlJc w:val="left"/>
      <w:pPr>
        <w:tabs>
          <w:tab w:val="num" w:pos="1080"/>
        </w:tabs>
        <w:ind w:left="1080" w:hanging="360"/>
      </w:pPr>
      <w:rPr>
        <w:rFonts w:ascii="Wingdings 2" w:hAnsi="Wingdings 2" w:hint="default"/>
        <w:color w:val="000000"/>
        <w:sz w:val="20"/>
      </w:rPr>
    </w:lvl>
    <w:lvl w:ilvl="2">
      <w:start w:val="1"/>
      <w:numFmt w:val="bullet"/>
      <w:lvlText w:val=""/>
      <w:lvlJc w:val="left"/>
      <w:pPr>
        <w:tabs>
          <w:tab w:val="num" w:pos="1440"/>
        </w:tabs>
        <w:ind w:left="1440" w:hanging="360"/>
      </w:pPr>
      <w:rPr>
        <w:rFonts w:ascii="Wingdings 2" w:hAnsi="Wingdings 2" w:hint="default"/>
        <w:color w:val="808080"/>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5AB81854"/>
    <w:multiLevelType w:val="hybridMultilevel"/>
    <w:tmpl w:val="F6E2E3A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5DA70F3A"/>
    <w:multiLevelType w:val="hybridMultilevel"/>
    <w:tmpl w:val="60BC7F70"/>
    <w:lvl w:ilvl="0" w:tplc="D5DCEFA2">
      <w:start w:val="1"/>
      <w:numFmt w:val="decimal"/>
      <w:lvlText w:val="%1."/>
      <w:lvlJc w:val="left"/>
      <w:pPr>
        <w:ind w:left="360" w:hanging="360"/>
      </w:pPr>
      <w:rPr>
        <w:rFonts w:hint="default"/>
        <w:sz w:val="1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5E0A72FA"/>
    <w:multiLevelType w:val="hybridMultilevel"/>
    <w:tmpl w:val="89947534"/>
    <w:lvl w:ilvl="0" w:tplc="AA9821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1193861"/>
    <w:multiLevelType w:val="multilevel"/>
    <w:tmpl w:val="E0BC12A4"/>
    <w:numStyleLink w:val="NumberedBullets"/>
  </w:abstractNum>
  <w:abstractNum w:abstractNumId="42">
    <w:nsid w:val="6AE3644D"/>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6D9421AA"/>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40B2CBF"/>
    <w:multiLevelType w:val="hybridMultilevel"/>
    <w:tmpl w:val="A7CC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4FB025A"/>
    <w:multiLevelType w:val="multilevel"/>
    <w:tmpl w:val="D6425A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Franklin Gothic Book" w:hAnsi="Franklin Gothic Book"/>
        <w:color w:val="000000"/>
        <w:sz w:val="19"/>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F006671"/>
    <w:multiLevelType w:val="multilevel"/>
    <w:tmpl w:val="981E337C"/>
    <w:numStyleLink w:val="SquareBullet"/>
  </w:abstractNum>
  <w:abstractNum w:abstractNumId="47">
    <w:nsid w:val="7F763093"/>
    <w:multiLevelType w:val="multilevel"/>
    <w:tmpl w:val="E55A66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18"/>
  </w:num>
  <w:num w:numId="4">
    <w:abstractNumId w:val="21"/>
  </w:num>
  <w:num w:numId="5">
    <w:abstractNumId w:val="42"/>
  </w:num>
  <w:num w:numId="6">
    <w:abstractNumId w:val="10"/>
  </w:num>
  <w:num w:numId="7">
    <w:abstractNumId w:val="43"/>
  </w:num>
  <w:num w:numId="8">
    <w:abstractNumId w:val="19"/>
  </w:num>
  <w:num w:numId="9">
    <w:abstractNumId w:val="45"/>
  </w:num>
  <w:num w:numId="10">
    <w:abstractNumId w:val="38"/>
  </w:num>
  <w:num w:numId="11">
    <w:abstractNumId w:val="35"/>
  </w:num>
  <w:num w:numId="12">
    <w:abstractNumId w:val="23"/>
  </w:num>
  <w:num w:numId="13">
    <w:abstractNumId w:val="47"/>
  </w:num>
  <w:num w:numId="14">
    <w:abstractNumId w:val="20"/>
  </w:num>
  <w:num w:numId="15">
    <w:abstractNumId w:val="11"/>
  </w:num>
  <w:num w:numId="16">
    <w:abstractNumId w:val="2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7"/>
  </w:num>
  <w:num w:numId="28">
    <w:abstractNumId w:val="31"/>
  </w:num>
  <w:num w:numId="29">
    <w:abstractNumId w:val="29"/>
  </w:num>
  <w:num w:numId="30">
    <w:abstractNumId w:val="36"/>
  </w:num>
  <w:num w:numId="31">
    <w:abstractNumId w:val="46"/>
  </w:num>
  <w:num w:numId="32">
    <w:abstractNumId w:val="41"/>
  </w:num>
  <w:num w:numId="33">
    <w:abstractNumId w:val="16"/>
  </w:num>
  <w:num w:numId="34">
    <w:abstractNumId w:val="34"/>
  </w:num>
  <w:num w:numId="35">
    <w:abstractNumId w:val="30"/>
  </w:num>
  <w:num w:numId="36">
    <w:abstractNumId w:val="44"/>
  </w:num>
  <w:num w:numId="37">
    <w:abstractNumId w:val="27"/>
  </w:num>
  <w:num w:numId="38">
    <w:abstractNumId w:val="25"/>
  </w:num>
  <w:num w:numId="39">
    <w:abstractNumId w:val="12"/>
  </w:num>
  <w:num w:numId="40">
    <w:abstractNumId w:val="39"/>
  </w:num>
  <w:num w:numId="41">
    <w:abstractNumId w:val="22"/>
  </w:num>
  <w:num w:numId="42">
    <w:abstractNumId w:val="32"/>
  </w:num>
  <w:num w:numId="43">
    <w:abstractNumId w:val="14"/>
  </w:num>
  <w:num w:numId="44">
    <w:abstractNumId w:val="40"/>
  </w:num>
  <w:num w:numId="45">
    <w:abstractNumId w:val="17"/>
  </w:num>
  <w:num w:numId="46">
    <w:abstractNumId w:val="33"/>
  </w:num>
  <w:num w:numId="47">
    <w:abstractNumId w:val="26"/>
  </w:num>
  <w:num w:numId="48">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04"/>
  <w:displayHorizontalDrawingGridEvery w:val="0"/>
  <w:displayVerticalDrawingGridEvery w:val="0"/>
  <w:doNotUseMarginsForDrawingGridOrigin/>
  <w:noPunctuationKerning/>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55"/>
    <w:rsid w:val="00002747"/>
    <w:rsid w:val="0000383E"/>
    <w:rsid w:val="00004F32"/>
    <w:rsid w:val="0000703C"/>
    <w:rsid w:val="00015273"/>
    <w:rsid w:val="000152F0"/>
    <w:rsid w:val="0001592C"/>
    <w:rsid w:val="000169E7"/>
    <w:rsid w:val="00021F92"/>
    <w:rsid w:val="00022837"/>
    <w:rsid w:val="00027DAE"/>
    <w:rsid w:val="00035C86"/>
    <w:rsid w:val="00036136"/>
    <w:rsid w:val="00047624"/>
    <w:rsid w:val="00047A41"/>
    <w:rsid w:val="00061046"/>
    <w:rsid w:val="00062E73"/>
    <w:rsid w:val="00063543"/>
    <w:rsid w:val="000639C7"/>
    <w:rsid w:val="0007131E"/>
    <w:rsid w:val="00075C80"/>
    <w:rsid w:val="00087EAF"/>
    <w:rsid w:val="000919C5"/>
    <w:rsid w:val="00092BEF"/>
    <w:rsid w:val="0009751E"/>
    <w:rsid w:val="000A5267"/>
    <w:rsid w:val="000A61C7"/>
    <w:rsid w:val="000B2726"/>
    <w:rsid w:val="000B5637"/>
    <w:rsid w:val="000B5F65"/>
    <w:rsid w:val="000B6DFB"/>
    <w:rsid w:val="000C1A29"/>
    <w:rsid w:val="000C4AAD"/>
    <w:rsid w:val="000D0BE1"/>
    <w:rsid w:val="000D3D39"/>
    <w:rsid w:val="000D4137"/>
    <w:rsid w:val="000D73A0"/>
    <w:rsid w:val="000D79C5"/>
    <w:rsid w:val="000E4117"/>
    <w:rsid w:val="000E7893"/>
    <w:rsid w:val="000F0AE4"/>
    <w:rsid w:val="000F76C5"/>
    <w:rsid w:val="00102242"/>
    <w:rsid w:val="00104233"/>
    <w:rsid w:val="001043E8"/>
    <w:rsid w:val="00105AB0"/>
    <w:rsid w:val="001060CC"/>
    <w:rsid w:val="00106AB2"/>
    <w:rsid w:val="00112048"/>
    <w:rsid w:val="00112B10"/>
    <w:rsid w:val="0011410B"/>
    <w:rsid w:val="00115CBD"/>
    <w:rsid w:val="0012119B"/>
    <w:rsid w:val="00125063"/>
    <w:rsid w:val="00127A2A"/>
    <w:rsid w:val="00132D36"/>
    <w:rsid w:val="00133534"/>
    <w:rsid w:val="00135555"/>
    <w:rsid w:val="00136541"/>
    <w:rsid w:val="001403CE"/>
    <w:rsid w:val="001411AF"/>
    <w:rsid w:val="001412AA"/>
    <w:rsid w:val="00142043"/>
    <w:rsid w:val="0014289A"/>
    <w:rsid w:val="00147BF9"/>
    <w:rsid w:val="00150CFF"/>
    <w:rsid w:val="00155786"/>
    <w:rsid w:val="0016718A"/>
    <w:rsid w:val="001674A6"/>
    <w:rsid w:val="00167DA6"/>
    <w:rsid w:val="00171C83"/>
    <w:rsid w:val="001722A1"/>
    <w:rsid w:val="001727A0"/>
    <w:rsid w:val="00173C95"/>
    <w:rsid w:val="00175D16"/>
    <w:rsid w:val="00180DA6"/>
    <w:rsid w:val="00181973"/>
    <w:rsid w:val="00184A48"/>
    <w:rsid w:val="0018576F"/>
    <w:rsid w:val="00186837"/>
    <w:rsid w:val="00186B9D"/>
    <w:rsid w:val="00192A84"/>
    <w:rsid w:val="001952D1"/>
    <w:rsid w:val="00195763"/>
    <w:rsid w:val="001A12C7"/>
    <w:rsid w:val="001A36D8"/>
    <w:rsid w:val="001A624F"/>
    <w:rsid w:val="001B23CF"/>
    <w:rsid w:val="001B4292"/>
    <w:rsid w:val="001B4D2D"/>
    <w:rsid w:val="001B6758"/>
    <w:rsid w:val="001C34E0"/>
    <w:rsid w:val="001C6C8A"/>
    <w:rsid w:val="001D28FA"/>
    <w:rsid w:val="001D5685"/>
    <w:rsid w:val="001E04EA"/>
    <w:rsid w:val="001E10E0"/>
    <w:rsid w:val="001E3B2B"/>
    <w:rsid w:val="001E420A"/>
    <w:rsid w:val="001E5707"/>
    <w:rsid w:val="001F60F6"/>
    <w:rsid w:val="001F6736"/>
    <w:rsid w:val="0020771D"/>
    <w:rsid w:val="0021551B"/>
    <w:rsid w:val="00223E48"/>
    <w:rsid w:val="00225401"/>
    <w:rsid w:val="00226FBE"/>
    <w:rsid w:val="00233C77"/>
    <w:rsid w:val="002374BF"/>
    <w:rsid w:val="002417A5"/>
    <w:rsid w:val="00246F1E"/>
    <w:rsid w:val="0025203B"/>
    <w:rsid w:val="00252ABF"/>
    <w:rsid w:val="00254BA4"/>
    <w:rsid w:val="002553DA"/>
    <w:rsid w:val="00261B49"/>
    <w:rsid w:val="0027484E"/>
    <w:rsid w:val="002822D6"/>
    <w:rsid w:val="0028435A"/>
    <w:rsid w:val="00284867"/>
    <w:rsid w:val="002919C1"/>
    <w:rsid w:val="002A030D"/>
    <w:rsid w:val="002A53F8"/>
    <w:rsid w:val="002A753F"/>
    <w:rsid w:val="002B2DB5"/>
    <w:rsid w:val="002B3B36"/>
    <w:rsid w:val="002B66DC"/>
    <w:rsid w:val="002C2756"/>
    <w:rsid w:val="002C4BC6"/>
    <w:rsid w:val="002C6D02"/>
    <w:rsid w:val="002D0492"/>
    <w:rsid w:val="002D0776"/>
    <w:rsid w:val="002D55ED"/>
    <w:rsid w:val="002D582E"/>
    <w:rsid w:val="002D77F8"/>
    <w:rsid w:val="002E135E"/>
    <w:rsid w:val="002E1BA7"/>
    <w:rsid w:val="002E4327"/>
    <w:rsid w:val="002E6808"/>
    <w:rsid w:val="002F262E"/>
    <w:rsid w:val="002F750C"/>
    <w:rsid w:val="00302505"/>
    <w:rsid w:val="00303A36"/>
    <w:rsid w:val="00304D52"/>
    <w:rsid w:val="00305EF4"/>
    <w:rsid w:val="0032013D"/>
    <w:rsid w:val="00326935"/>
    <w:rsid w:val="0032765C"/>
    <w:rsid w:val="00330559"/>
    <w:rsid w:val="00334F8C"/>
    <w:rsid w:val="003354DB"/>
    <w:rsid w:val="00343574"/>
    <w:rsid w:val="00345C2E"/>
    <w:rsid w:val="0035199F"/>
    <w:rsid w:val="003553F9"/>
    <w:rsid w:val="003567CB"/>
    <w:rsid w:val="003779F9"/>
    <w:rsid w:val="003828B0"/>
    <w:rsid w:val="00383E50"/>
    <w:rsid w:val="00385DA7"/>
    <w:rsid w:val="00386BE9"/>
    <w:rsid w:val="00391BFE"/>
    <w:rsid w:val="0039501F"/>
    <w:rsid w:val="003A62E0"/>
    <w:rsid w:val="003B12AA"/>
    <w:rsid w:val="003B21FD"/>
    <w:rsid w:val="003B26F4"/>
    <w:rsid w:val="003B44BC"/>
    <w:rsid w:val="003B7B24"/>
    <w:rsid w:val="003C73C0"/>
    <w:rsid w:val="003C793B"/>
    <w:rsid w:val="003D00C8"/>
    <w:rsid w:val="003D442C"/>
    <w:rsid w:val="003E0D33"/>
    <w:rsid w:val="003E240F"/>
    <w:rsid w:val="003E4938"/>
    <w:rsid w:val="003E7E77"/>
    <w:rsid w:val="003F0767"/>
    <w:rsid w:val="003F1267"/>
    <w:rsid w:val="003F2072"/>
    <w:rsid w:val="003F502D"/>
    <w:rsid w:val="003F5C11"/>
    <w:rsid w:val="003F70E8"/>
    <w:rsid w:val="003F7237"/>
    <w:rsid w:val="00402B57"/>
    <w:rsid w:val="00403C6D"/>
    <w:rsid w:val="004044E5"/>
    <w:rsid w:val="00405FAA"/>
    <w:rsid w:val="00406E09"/>
    <w:rsid w:val="00416450"/>
    <w:rsid w:val="004208E7"/>
    <w:rsid w:val="00422AEB"/>
    <w:rsid w:val="00423668"/>
    <w:rsid w:val="004310F1"/>
    <w:rsid w:val="0043190D"/>
    <w:rsid w:val="00432EF3"/>
    <w:rsid w:val="004349E0"/>
    <w:rsid w:val="004376AE"/>
    <w:rsid w:val="00437C1A"/>
    <w:rsid w:val="00443000"/>
    <w:rsid w:val="004444C2"/>
    <w:rsid w:val="00455701"/>
    <w:rsid w:val="00462E51"/>
    <w:rsid w:val="00464895"/>
    <w:rsid w:val="0047250A"/>
    <w:rsid w:val="00474EF5"/>
    <w:rsid w:val="004844AA"/>
    <w:rsid w:val="004876E2"/>
    <w:rsid w:val="00494A35"/>
    <w:rsid w:val="00495CA3"/>
    <w:rsid w:val="004967EC"/>
    <w:rsid w:val="004A6232"/>
    <w:rsid w:val="004B25FC"/>
    <w:rsid w:val="004B28CC"/>
    <w:rsid w:val="004B37CE"/>
    <w:rsid w:val="004B4663"/>
    <w:rsid w:val="004B7F88"/>
    <w:rsid w:val="004C303E"/>
    <w:rsid w:val="004C59A7"/>
    <w:rsid w:val="004C76D7"/>
    <w:rsid w:val="004D03CA"/>
    <w:rsid w:val="004D0883"/>
    <w:rsid w:val="004D0A06"/>
    <w:rsid w:val="004D2B76"/>
    <w:rsid w:val="004D6AD3"/>
    <w:rsid w:val="004E26C9"/>
    <w:rsid w:val="004F591C"/>
    <w:rsid w:val="004F6584"/>
    <w:rsid w:val="004F6BD9"/>
    <w:rsid w:val="005007AA"/>
    <w:rsid w:val="00501FF7"/>
    <w:rsid w:val="00507369"/>
    <w:rsid w:val="00507A71"/>
    <w:rsid w:val="0051147B"/>
    <w:rsid w:val="005142F4"/>
    <w:rsid w:val="00515C0D"/>
    <w:rsid w:val="00521C5C"/>
    <w:rsid w:val="00521E6B"/>
    <w:rsid w:val="00522C3F"/>
    <w:rsid w:val="00525751"/>
    <w:rsid w:val="0053096D"/>
    <w:rsid w:val="00531C3F"/>
    <w:rsid w:val="00540818"/>
    <w:rsid w:val="00544E3D"/>
    <w:rsid w:val="00544FA5"/>
    <w:rsid w:val="00547A22"/>
    <w:rsid w:val="00552CC5"/>
    <w:rsid w:val="00553F17"/>
    <w:rsid w:val="00560A0E"/>
    <w:rsid w:val="005619A2"/>
    <w:rsid w:val="00575E97"/>
    <w:rsid w:val="00576471"/>
    <w:rsid w:val="00576891"/>
    <w:rsid w:val="00582082"/>
    <w:rsid w:val="00584408"/>
    <w:rsid w:val="00586A20"/>
    <w:rsid w:val="00587B3B"/>
    <w:rsid w:val="00590113"/>
    <w:rsid w:val="0059057A"/>
    <w:rsid w:val="00590A06"/>
    <w:rsid w:val="005927C2"/>
    <w:rsid w:val="005A035F"/>
    <w:rsid w:val="005A05AC"/>
    <w:rsid w:val="005A1147"/>
    <w:rsid w:val="005A1F18"/>
    <w:rsid w:val="005A3200"/>
    <w:rsid w:val="005A3A39"/>
    <w:rsid w:val="005A4B7B"/>
    <w:rsid w:val="005A6A25"/>
    <w:rsid w:val="005A77E7"/>
    <w:rsid w:val="005B23E6"/>
    <w:rsid w:val="005B2B15"/>
    <w:rsid w:val="005C6B48"/>
    <w:rsid w:val="005D0A3C"/>
    <w:rsid w:val="005E1A85"/>
    <w:rsid w:val="005E4D97"/>
    <w:rsid w:val="005E50DC"/>
    <w:rsid w:val="005E5832"/>
    <w:rsid w:val="005F2E4B"/>
    <w:rsid w:val="005F41CC"/>
    <w:rsid w:val="005F7F6D"/>
    <w:rsid w:val="00602C45"/>
    <w:rsid w:val="0061269A"/>
    <w:rsid w:val="00620ABC"/>
    <w:rsid w:val="00622E86"/>
    <w:rsid w:val="006233AC"/>
    <w:rsid w:val="006252DA"/>
    <w:rsid w:val="00625F92"/>
    <w:rsid w:val="00626EEE"/>
    <w:rsid w:val="006277BD"/>
    <w:rsid w:val="00634118"/>
    <w:rsid w:val="00634EE4"/>
    <w:rsid w:val="00635782"/>
    <w:rsid w:val="006368D1"/>
    <w:rsid w:val="006511E4"/>
    <w:rsid w:val="006525DA"/>
    <w:rsid w:val="006527D0"/>
    <w:rsid w:val="00652DA2"/>
    <w:rsid w:val="00652F03"/>
    <w:rsid w:val="00652F3F"/>
    <w:rsid w:val="00654154"/>
    <w:rsid w:val="00654E58"/>
    <w:rsid w:val="006552D0"/>
    <w:rsid w:val="0065756F"/>
    <w:rsid w:val="00661695"/>
    <w:rsid w:val="00664D40"/>
    <w:rsid w:val="006653F1"/>
    <w:rsid w:val="00666632"/>
    <w:rsid w:val="00671D92"/>
    <w:rsid w:val="00672C6B"/>
    <w:rsid w:val="00673377"/>
    <w:rsid w:val="00684C02"/>
    <w:rsid w:val="00691516"/>
    <w:rsid w:val="0069238B"/>
    <w:rsid w:val="00692EC0"/>
    <w:rsid w:val="00694D8B"/>
    <w:rsid w:val="006A24E5"/>
    <w:rsid w:val="006A317F"/>
    <w:rsid w:val="006A32AF"/>
    <w:rsid w:val="006A779C"/>
    <w:rsid w:val="006B02D1"/>
    <w:rsid w:val="006B14EE"/>
    <w:rsid w:val="006B21D5"/>
    <w:rsid w:val="006B369D"/>
    <w:rsid w:val="006C0EC0"/>
    <w:rsid w:val="006C10BC"/>
    <w:rsid w:val="006C1235"/>
    <w:rsid w:val="006C5E7F"/>
    <w:rsid w:val="006C6DFC"/>
    <w:rsid w:val="006C7FB6"/>
    <w:rsid w:val="006E0B1F"/>
    <w:rsid w:val="006E2A79"/>
    <w:rsid w:val="006E4E56"/>
    <w:rsid w:val="006F06E0"/>
    <w:rsid w:val="006F4264"/>
    <w:rsid w:val="006F5F3B"/>
    <w:rsid w:val="006F7478"/>
    <w:rsid w:val="006F7BD2"/>
    <w:rsid w:val="00701B4F"/>
    <w:rsid w:val="00703165"/>
    <w:rsid w:val="00710EA5"/>
    <w:rsid w:val="00710F2A"/>
    <w:rsid w:val="0071272A"/>
    <w:rsid w:val="007227EB"/>
    <w:rsid w:val="00725433"/>
    <w:rsid w:val="00731F30"/>
    <w:rsid w:val="007343ED"/>
    <w:rsid w:val="00735B00"/>
    <w:rsid w:val="00737A10"/>
    <w:rsid w:val="0074099A"/>
    <w:rsid w:val="007415E1"/>
    <w:rsid w:val="00741D0A"/>
    <w:rsid w:val="007422B0"/>
    <w:rsid w:val="007466AF"/>
    <w:rsid w:val="00750BD5"/>
    <w:rsid w:val="00750FEB"/>
    <w:rsid w:val="00752ABE"/>
    <w:rsid w:val="00753B0C"/>
    <w:rsid w:val="00755DDE"/>
    <w:rsid w:val="007570F2"/>
    <w:rsid w:val="00761D1C"/>
    <w:rsid w:val="00764649"/>
    <w:rsid w:val="00771D88"/>
    <w:rsid w:val="007721D0"/>
    <w:rsid w:val="00772980"/>
    <w:rsid w:val="00772DF1"/>
    <w:rsid w:val="007743FE"/>
    <w:rsid w:val="00790941"/>
    <w:rsid w:val="00793336"/>
    <w:rsid w:val="00795F9C"/>
    <w:rsid w:val="00797CF8"/>
    <w:rsid w:val="007A34EF"/>
    <w:rsid w:val="007A6276"/>
    <w:rsid w:val="007A6AA6"/>
    <w:rsid w:val="007B4142"/>
    <w:rsid w:val="007B4F9A"/>
    <w:rsid w:val="007B6A8B"/>
    <w:rsid w:val="007C3FE1"/>
    <w:rsid w:val="007C6E4D"/>
    <w:rsid w:val="007C7FF0"/>
    <w:rsid w:val="007E0F76"/>
    <w:rsid w:val="007F1E48"/>
    <w:rsid w:val="007F22D5"/>
    <w:rsid w:val="007F3EAA"/>
    <w:rsid w:val="007F788F"/>
    <w:rsid w:val="0080429E"/>
    <w:rsid w:val="00810DBB"/>
    <w:rsid w:val="008113EC"/>
    <w:rsid w:val="00812C46"/>
    <w:rsid w:val="0081380C"/>
    <w:rsid w:val="008202EA"/>
    <w:rsid w:val="00822059"/>
    <w:rsid w:val="0082567A"/>
    <w:rsid w:val="00831196"/>
    <w:rsid w:val="0083209A"/>
    <w:rsid w:val="00832DA1"/>
    <w:rsid w:val="00833C77"/>
    <w:rsid w:val="00836BFC"/>
    <w:rsid w:val="008408BE"/>
    <w:rsid w:val="008412E2"/>
    <w:rsid w:val="0084529B"/>
    <w:rsid w:val="0084711B"/>
    <w:rsid w:val="00847184"/>
    <w:rsid w:val="00850EE7"/>
    <w:rsid w:val="00854FF9"/>
    <w:rsid w:val="00856C8F"/>
    <w:rsid w:val="008625DE"/>
    <w:rsid w:val="00864684"/>
    <w:rsid w:val="0086792F"/>
    <w:rsid w:val="00867C83"/>
    <w:rsid w:val="008701E5"/>
    <w:rsid w:val="00870B7A"/>
    <w:rsid w:val="0087562A"/>
    <w:rsid w:val="00875B4D"/>
    <w:rsid w:val="008766B9"/>
    <w:rsid w:val="00876B0D"/>
    <w:rsid w:val="008776D7"/>
    <w:rsid w:val="00877851"/>
    <w:rsid w:val="00882AB2"/>
    <w:rsid w:val="00885950"/>
    <w:rsid w:val="00891470"/>
    <w:rsid w:val="00891F56"/>
    <w:rsid w:val="008A6ADB"/>
    <w:rsid w:val="008A7042"/>
    <w:rsid w:val="008A716D"/>
    <w:rsid w:val="008A7DEE"/>
    <w:rsid w:val="008B3923"/>
    <w:rsid w:val="008B6E6B"/>
    <w:rsid w:val="008D1619"/>
    <w:rsid w:val="008D79B3"/>
    <w:rsid w:val="008E207F"/>
    <w:rsid w:val="008E21FE"/>
    <w:rsid w:val="008E4EB7"/>
    <w:rsid w:val="008F1C73"/>
    <w:rsid w:val="008F206A"/>
    <w:rsid w:val="008F4406"/>
    <w:rsid w:val="008F6FD5"/>
    <w:rsid w:val="00902FEC"/>
    <w:rsid w:val="0090513D"/>
    <w:rsid w:val="0090671F"/>
    <w:rsid w:val="00910A08"/>
    <w:rsid w:val="00910D46"/>
    <w:rsid w:val="00913E7F"/>
    <w:rsid w:val="0091651F"/>
    <w:rsid w:val="009206EA"/>
    <w:rsid w:val="00931286"/>
    <w:rsid w:val="009362C4"/>
    <w:rsid w:val="009368B9"/>
    <w:rsid w:val="009412F3"/>
    <w:rsid w:val="00947AF6"/>
    <w:rsid w:val="00947F2D"/>
    <w:rsid w:val="00962389"/>
    <w:rsid w:val="00962597"/>
    <w:rsid w:val="0097181B"/>
    <w:rsid w:val="00972EA9"/>
    <w:rsid w:val="00982656"/>
    <w:rsid w:val="00983B7C"/>
    <w:rsid w:val="009844CC"/>
    <w:rsid w:val="009847F9"/>
    <w:rsid w:val="0098602D"/>
    <w:rsid w:val="00990DCB"/>
    <w:rsid w:val="009940C2"/>
    <w:rsid w:val="0099635B"/>
    <w:rsid w:val="009A0208"/>
    <w:rsid w:val="009A0B27"/>
    <w:rsid w:val="009A12A5"/>
    <w:rsid w:val="009A17FE"/>
    <w:rsid w:val="009A57C5"/>
    <w:rsid w:val="009B07BA"/>
    <w:rsid w:val="009B545E"/>
    <w:rsid w:val="009B56FA"/>
    <w:rsid w:val="009B6D4C"/>
    <w:rsid w:val="009C14D3"/>
    <w:rsid w:val="009C3D92"/>
    <w:rsid w:val="009C4D45"/>
    <w:rsid w:val="009C55CE"/>
    <w:rsid w:val="009C7F15"/>
    <w:rsid w:val="009D1704"/>
    <w:rsid w:val="009D17BD"/>
    <w:rsid w:val="009D3090"/>
    <w:rsid w:val="009D3CC8"/>
    <w:rsid w:val="009D40A1"/>
    <w:rsid w:val="009E34F0"/>
    <w:rsid w:val="009E3F7B"/>
    <w:rsid w:val="009E524B"/>
    <w:rsid w:val="009E543B"/>
    <w:rsid w:val="009E6A30"/>
    <w:rsid w:val="009F09D8"/>
    <w:rsid w:val="009F4566"/>
    <w:rsid w:val="00A0263A"/>
    <w:rsid w:val="00A02919"/>
    <w:rsid w:val="00A043C5"/>
    <w:rsid w:val="00A05F6C"/>
    <w:rsid w:val="00A067E4"/>
    <w:rsid w:val="00A10588"/>
    <w:rsid w:val="00A13189"/>
    <w:rsid w:val="00A14386"/>
    <w:rsid w:val="00A20518"/>
    <w:rsid w:val="00A22039"/>
    <w:rsid w:val="00A23138"/>
    <w:rsid w:val="00A3049E"/>
    <w:rsid w:val="00A332D3"/>
    <w:rsid w:val="00A33B11"/>
    <w:rsid w:val="00A35D68"/>
    <w:rsid w:val="00A41EC9"/>
    <w:rsid w:val="00A46000"/>
    <w:rsid w:val="00A50AFA"/>
    <w:rsid w:val="00A51B55"/>
    <w:rsid w:val="00A51BCE"/>
    <w:rsid w:val="00A54318"/>
    <w:rsid w:val="00A56412"/>
    <w:rsid w:val="00A6054B"/>
    <w:rsid w:val="00A616BF"/>
    <w:rsid w:val="00A62204"/>
    <w:rsid w:val="00A65B44"/>
    <w:rsid w:val="00A67538"/>
    <w:rsid w:val="00A7037E"/>
    <w:rsid w:val="00A7042D"/>
    <w:rsid w:val="00A732A7"/>
    <w:rsid w:val="00A74B51"/>
    <w:rsid w:val="00A75D7D"/>
    <w:rsid w:val="00A855B1"/>
    <w:rsid w:val="00A946B8"/>
    <w:rsid w:val="00AA31B4"/>
    <w:rsid w:val="00AB0E08"/>
    <w:rsid w:val="00AB2F4E"/>
    <w:rsid w:val="00AB3871"/>
    <w:rsid w:val="00AC7F8F"/>
    <w:rsid w:val="00AD07D2"/>
    <w:rsid w:val="00AD0C8E"/>
    <w:rsid w:val="00AD52A5"/>
    <w:rsid w:val="00AE10C1"/>
    <w:rsid w:val="00AE230C"/>
    <w:rsid w:val="00AE43E6"/>
    <w:rsid w:val="00AF069C"/>
    <w:rsid w:val="00AF2341"/>
    <w:rsid w:val="00B0014A"/>
    <w:rsid w:val="00B01916"/>
    <w:rsid w:val="00B047B9"/>
    <w:rsid w:val="00B05B3E"/>
    <w:rsid w:val="00B07370"/>
    <w:rsid w:val="00B1157E"/>
    <w:rsid w:val="00B13110"/>
    <w:rsid w:val="00B13C21"/>
    <w:rsid w:val="00B13E2C"/>
    <w:rsid w:val="00B175DB"/>
    <w:rsid w:val="00B176D6"/>
    <w:rsid w:val="00B176E5"/>
    <w:rsid w:val="00B2013B"/>
    <w:rsid w:val="00B2242E"/>
    <w:rsid w:val="00B22AC6"/>
    <w:rsid w:val="00B24194"/>
    <w:rsid w:val="00B269BA"/>
    <w:rsid w:val="00B3347B"/>
    <w:rsid w:val="00B35992"/>
    <w:rsid w:val="00B4670F"/>
    <w:rsid w:val="00B51427"/>
    <w:rsid w:val="00B519D2"/>
    <w:rsid w:val="00B544A0"/>
    <w:rsid w:val="00B5456C"/>
    <w:rsid w:val="00B57E55"/>
    <w:rsid w:val="00B60464"/>
    <w:rsid w:val="00B706AD"/>
    <w:rsid w:val="00B72282"/>
    <w:rsid w:val="00B76F4F"/>
    <w:rsid w:val="00B809EF"/>
    <w:rsid w:val="00B827C7"/>
    <w:rsid w:val="00B84B77"/>
    <w:rsid w:val="00B867D3"/>
    <w:rsid w:val="00B908A1"/>
    <w:rsid w:val="00B91BD7"/>
    <w:rsid w:val="00B9260F"/>
    <w:rsid w:val="00B93454"/>
    <w:rsid w:val="00B935B8"/>
    <w:rsid w:val="00B950FE"/>
    <w:rsid w:val="00B976D8"/>
    <w:rsid w:val="00BA017A"/>
    <w:rsid w:val="00BA20A5"/>
    <w:rsid w:val="00BB048B"/>
    <w:rsid w:val="00BB1B01"/>
    <w:rsid w:val="00BB1BB7"/>
    <w:rsid w:val="00BB1DE8"/>
    <w:rsid w:val="00BB3F93"/>
    <w:rsid w:val="00BB45CA"/>
    <w:rsid w:val="00BB59BF"/>
    <w:rsid w:val="00BB78CA"/>
    <w:rsid w:val="00BC4FE3"/>
    <w:rsid w:val="00BC64C2"/>
    <w:rsid w:val="00BD2711"/>
    <w:rsid w:val="00BD3D60"/>
    <w:rsid w:val="00BD6465"/>
    <w:rsid w:val="00BE0F51"/>
    <w:rsid w:val="00BE49A0"/>
    <w:rsid w:val="00BE7B95"/>
    <w:rsid w:val="00BE7FE5"/>
    <w:rsid w:val="00BF07C1"/>
    <w:rsid w:val="00BF12AE"/>
    <w:rsid w:val="00BF2585"/>
    <w:rsid w:val="00BF324F"/>
    <w:rsid w:val="00BF42FF"/>
    <w:rsid w:val="00BF4D99"/>
    <w:rsid w:val="00C01A5B"/>
    <w:rsid w:val="00C02420"/>
    <w:rsid w:val="00C10DA0"/>
    <w:rsid w:val="00C2068D"/>
    <w:rsid w:val="00C23E28"/>
    <w:rsid w:val="00C24236"/>
    <w:rsid w:val="00C27CA5"/>
    <w:rsid w:val="00C300C1"/>
    <w:rsid w:val="00C31287"/>
    <w:rsid w:val="00C32994"/>
    <w:rsid w:val="00C351B6"/>
    <w:rsid w:val="00C35ACC"/>
    <w:rsid w:val="00C368F4"/>
    <w:rsid w:val="00C435FA"/>
    <w:rsid w:val="00C4415A"/>
    <w:rsid w:val="00C446FA"/>
    <w:rsid w:val="00C462C8"/>
    <w:rsid w:val="00C52A64"/>
    <w:rsid w:val="00C52C66"/>
    <w:rsid w:val="00C56DFD"/>
    <w:rsid w:val="00C57AF0"/>
    <w:rsid w:val="00C62E75"/>
    <w:rsid w:val="00C75D7A"/>
    <w:rsid w:val="00C76919"/>
    <w:rsid w:val="00C80171"/>
    <w:rsid w:val="00C818C9"/>
    <w:rsid w:val="00C837DD"/>
    <w:rsid w:val="00C87B0F"/>
    <w:rsid w:val="00C9019A"/>
    <w:rsid w:val="00C9470D"/>
    <w:rsid w:val="00CA63E7"/>
    <w:rsid w:val="00CB6E14"/>
    <w:rsid w:val="00CB7864"/>
    <w:rsid w:val="00CC134B"/>
    <w:rsid w:val="00CC4B2D"/>
    <w:rsid w:val="00CD0817"/>
    <w:rsid w:val="00CD2EF7"/>
    <w:rsid w:val="00CD6D92"/>
    <w:rsid w:val="00CE2F73"/>
    <w:rsid w:val="00CE3910"/>
    <w:rsid w:val="00CE53B3"/>
    <w:rsid w:val="00CE614C"/>
    <w:rsid w:val="00CE773B"/>
    <w:rsid w:val="00CF1A21"/>
    <w:rsid w:val="00CF6A5F"/>
    <w:rsid w:val="00D01926"/>
    <w:rsid w:val="00D02053"/>
    <w:rsid w:val="00D0243B"/>
    <w:rsid w:val="00D06DE9"/>
    <w:rsid w:val="00D1020F"/>
    <w:rsid w:val="00D11CDB"/>
    <w:rsid w:val="00D1414F"/>
    <w:rsid w:val="00D14B5E"/>
    <w:rsid w:val="00D151DB"/>
    <w:rsid w:val="00D173FD"/>
    <w:rsid w:val="00D22AB6"/>
    <w:rsid w:val="00D23243"/>
    <w:rsid w:val="00D2423A"/>
    <w:rsid w:val="00D3032A"/>
    <w:rsid w:val="00D31E04"/>
    <w:rsid w:val="00D33E91"/>
    <w:rsid w:val="00D419D0"/>
    <w:rsid w:val="00D50717"/>
    <w:rsid w:val="00D512C1"/>
    <w:rsid w:val="00D57421"/>
    <w:rsid w:val="00D61C32"/>
    <w:rsid w:val="00D7012A"/>
    <w:rsid w:val="00D73676"/>
    <w:rsid w:val="00D77F32"/>
    <w:rsid w:val="00D82EA5"/>
    <w:rsid w:val="00D83B4F"/>
    <w:rsid w:val="00D85C2E"/>
    <w:rsid w:val="00D872DE"/>
    <w:rsid w:val="00D940B6"/>
    <w:rsid w:val="00D94228"/>
    <w:rsid w:val="00DB1081"/>
    <w:rsid w:val="00DB5FA9"/>
    <w:rsid w:val="00DB743E"/>
    <w:rsid w:val="00DC2AA9"/>
    <w:rsid w:val="00DC41E0"/>
    <w:rsid w:val="00DC6FEC"/>
    <w:rsid w:val="00DD32BA"/>
    <w:rsid w:val="00DE2CF6"/>
    <w:rsid w:val="00DE37D9"/>
    <w:rsid w:val="00DE7B1D"/>
    <w:rsid w:val="00DF340F"/>
    <w:rsid w:val="00DF3FEA"/>
    <w:rsid w:val="00DF59A6"/>
    <w:rsid w:val="00DF5C95"/>
    <w:rsid w:val="00DF5EDF"/>
    <w:rsid w:val="00E0245C"/>
    <w:rsid w:val="00E052E1"/>
    <w:rsid w:val="00E05E1A"/>
    <w:rsid w:val="00E067E1"/>
    <w:rsid w:val="00E07063"/>
    <w:rsid w:val="00E07454"/>
    <w:rsid w:val="00E13B2F"/>
    <w:rsid w:val="00E143DC"/>
    <w:rsid w:val="00E176E5"/>
    <w:rsid w:val="00E204C1"/>
    <w:rsid w:val="00E23734"/>
    <w:rsid w:val="00E275F8"/>
    <w:rsid w:val="00E317AF"/>
    <w:rsid w:val="00E37251"/>
    <w:rsid w:val="00E425F3"/>
    <w:rsid w:val="00E44CBA"/>
    <w:rsid w:val="00E458EF"/>
    <w:rsid w:val="00E45E6E"/>
    <w:rsid w:val="00E544A2"/>
    <w:rsid w:val="00E565BC"/>
    <w:rsid w:val="00E56C35"/>
    <w:rsid w:val="00E641ED"/>
    <w:rsid w:val="00E707D7"/>
    <w:rsid w:val="00E73A2D"/>
    <w:rsid w:val="00E743EF"/>
    <w:rsid w:val="00E75EC4"/>
    <w:rsid w:val="00E80E53"/>
    <w:rsid w:val="00E85CC9"/>
    <w:rsid w:val="00E969C4"/>
    <w:rsid w:val="00E96A61"/>
    <w:rsid w:val="00E97FDB"/>
    <w:rsid w:val="00EA1AC7"/>
    <w:rsid w:val="00EA1E45"/>
    <w:rsid w:val="00EA3BCB"/>
    <w:rsid w:val="00EA40F5"/>
    <w:rsid w:val="00EA5C83"/>
    <w:rsid w:val="00EB0C0F"/>
    <w:rsid w:val="00EB1BC9"/>
    <w:rsid w:val="00EB2BEC"/>
    <w:rsid w:val="00EC1216"/>
    <w:rsid w:val="00EC50FB"/>
    <w:rsid w:val="00EC7821"/>
    <w:rsid w:val="00ED0146"/>
    <w:rsid w:val="00ED0290"/>
    <w:rsid w:val="00ED2689"/>
    <w:rsid w:val="00ED3EE0"/>
    <w:rsid w:val="00ED49A8"/>
    <w:rsid w:val="00ED535A"/>
    <w:rsid w:val="00ED5901"/>
    <w:rsid w:val="00EF25E2"/>
    <w:rsid w:val="00EF2DB0"/>
    <w:rsid w:val="00EF48F0"/>
    <w:rsid w:val="00EF52E3"/>
    <w:rsid w:val="00EF5510"/>
    <w:rsid w:val="00EF7632"/>
    <w:rsid w:val="00EF79B0"/>
    <w:rsid w:val="00F01947"/>
    <w:rsid w:val="00F0236E"/>
    <w:rsid w:val="00F037E3"/>
    <w:rsid w:val="00F05967"/>
    <w:rsid w:val="00F06AF3"/>
    <w:rsid w:val="00F0778A"/>
    <w:rsid w:val="00F10872"/>
    <w:rsid w:val="00F12916"/>
    <w:rsid w:val="00F12D44"/>
    <w:rsid w:val="00F1349D"/>
    <w:rsid w:val="00F14E5C"/>
    <w:rsid w:val="00F1549C"/>
    <w:rsid w:val="00F218F9"/>
    <w:rsid w:val="00F21E5F"/>
    <w:rsid w:val="00F312DD"/>
    <w:rsid w:val="00F33811"/>
    <w:rsid w:val="00F42393"/>
    <w:rsid w:val="00F45707"/>
    <w:rsid w:val="00F45D8A"/>
    <w:rsid w:val="00F550A3"/>
    <w:rsid w:val="00F667D6"/>
    <w:rsid w:val="00F66CBE"/>
    <w:rsid w:val="00F67FA6"/>
    <w:rsid w:val="00F71058"/>
    <w:rsid w:val="00F721FE"/>
    <w:rsid w:val="00F72600"/>
    <w:rsid w:val="00F7387F"/>
    <w:rsid w:val="00F8717E"/>
    <w:rsid w:val="00F90756"/>
    <w:rsid w:val="00F9094C"/>
    <w:rsid w:val="00F937CD"/>
    <w:rsid w:val="00F9408B"/>
    <w:rsid w:val="00F95811"/>
    <w:rsid w:val="00FA2734"/>
    <w:rsid w:val="00FA3B02"/>
    <w:rsid w:val="00FA463D"/>
    <w:rsid w:val="00FA4CAD"/>
    <w:rsid w:val="00FC292A"/>
    <w:rsid w:val="00FD2126"/>
    <w:rsid w:val="00FD43C0"/>
    <w:rsid w:val="00FD6896"/>
    <w:rsid w:val="00FE10C1"/>
    <w:rsid w:val="00FE2E7E"/>
    <w:rsid w:val="00FE39DC"/>
    <w:rsid w:val="00FE3E2C"/>
    <w:rsid w:val="00FE4DD7"/>
    <w:rsid w:val="00FE54B5"/>
    <w:rsid w:val="00FF0908"/>
    <w:rsid w:val="00FF5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uiPriority w:val="99"/>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5B23E6"/>
    <w:pPr>
      <w:spacing w:after="200" w:line="240" w:lineRule="auto"/>
    </w:pPr>
    <w:rPr>
      <w:b/>
      <w:bCs/>
      <w:color w:val="4F81BD" w:themeColor="accent1"/>
      <w:szCs w:val="18"/>
    </w:rPr>
  </w:style>
  <w:style w:type="paragraph" w:styleId="TOCHeading">
    <w:name w:val="TOC Heading"/>
    <w:basedOn w:val="Heading1"/>
    <w:next w:val="Normal"/>
    <w:uiPriority w:val="39"/>
    <w:semiHidden/>
    <w:unhideWhenUsed/>
    <w:qFormat/>
    <w:rsid w:val="005E1A85"/>
    <w:pPr>
      <w:keepLines/>
      <w:tabs>
        <w:tab w:val="clear" w:pos="5245"/>
      </w:tabs>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rsid w:val="00552CC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uiPriority w:val="99"/>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5B23E6"/>
    <w:pPr>
      <w:spacing w:after="200" w:line="240" w:lineRule="auto"/>
    </w:pPr>
    <w:rPr>
      <w:b/>
      <w:bCs/>
      <w:color w:val="4F81BD" w:themeColor="accent1"/>
      <w:szCs w:val="18"/>
    </w:rPr>
  </w:style>
  <w:style w:type="paragraph" w:styleId="TOCHeading">
    <w:name w:val="TOC Heading"/>
    <w:basedOn w:val="Heading1"/>
    <w:next w:val="Normal"/>
    <w:uiPriority w:val="39"/>
    <w:semiHidden/>
    <w:unhideWhenUsed/>
    <w:qFormat/>
    <w:rsid w:val="005E1A85"/>
    <w:pPr>
      <w:keepLines/>
      <w:tabs>
        <w:tab w:val="clear" w:pos="5245"/>
      </w:tabs>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rsid w:val="00552CC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84935">
      <w:bodyDiv w:val="1"/>
      <w:marLeft w:val="0"/>
      <w:marRight w:val="0"/>
      <w:marTop w:val="0"/>
      <w:marBottom w:val="0"/>
      <w:divBdr>
        <w:top w:val="none" w:sz="0" w:space="0" w:color="auto"/>
        <w:left w:val="none" w:sz="0" w:space="0" w:color="auto"/>
        <w:bottom w:val="none" w:sz="0" w:space="0" w:color="auto"/>
        <w:right w:val="none" w:sz="0" w:space="0" w:color="auto"/>
      </w:divBdr>
    </w:div>
    <w:div w:id="570119545">
      <w:bodyDiv w:val="1"/>
      <w:marLeft w:val="0"/>
      <w:marRight w:val="0"/>
      <w:marTop w:val="0"/>
      <w:marBottom w:val="0"/>
      <w:divBdr>
        <w:top w:val="none" w:sz="0" w:space="0" w:color="auto"/>
        <w:left w:val="none" w:sz="0" w:space="0" w:color="auto"/>
        <w:bottom w:val="none" w:sz="0" w:space="0" w:color="auto"/>
        <w:right w:val="none" w:sz="0" w:space="0" w:color="auto"/>
      </w:divBdr>
    </w:div>
    <w:div w:id="593128119">
      <w:bodyDiv w:val="1"/>
      <w:marLeft w:val="0"/>
      <w:marRight w:val="0"/>
      <w:marTop w:val="0"/>
      <w:marBottom w:val="0"/>
      <w:divBdr>
        <w:top w:val="none" w:sz="0" w:space="0" w:color="auto"/>
        <w:left w:val="none" w:sz="0" w:space="0" w:color="auto"/>
        <w:bottom w:val="none" w:sz="0" w:space="0" w:color="auto"/>
        <w:right w:val="none" w:sz="0" w:space="0" w:color="auto"/>
      </w:divBdr>
    </w:div>
    <w:div w:id="631903132">
      <w:bodyDiv w:val="1"/>
      <w:marLeft w:val="0"/>
      <w:marRight w:val="0"/>
      <w:marTop w:val="0"/>
      <w:marBottom w:val="0"/>
      <w:divBdr>
        <w:top w:val="none" w:sz="0" w:space="0" w:color="auto"/>
        <w:left w:val="none" w:sz="0" w:space="0" w:color="auto"/>
        <w:bottom w:val="none" w:sz="0" w:space="0" w:color="auto"/>
        <w:right w:val="none" w:sz="0" w:space="0" w:color="auto"/>
      </w:divBdr>
    </w:div>
    <w:div w:id="675575316">
      <w:bodyDiv w:val="1"/>
      <w:marLeft w:val="0"/>
      <w:marRight w:val="0"/>
      <w:marTop w:val="0"/>
      <w:marBottom w:val="0"/>
      <w:divBdr>
        <w:top w:val="none" w:sz="0" w:space="0" w:color="auto"/>
        <w:left w:val="none" w:sz="0" w:space="0" w:color="auto"/>
        <w:bottom w:val="none" w:sz="0" w:space="0" w:color="auto"/>
        <w:right w:val="none" w:sz="0" w:space="0" w:color="auto"/>
      </w:divBdr>
    </w:div>
    <w:div w:id="690029521">
      <w:bodyDiv w:val="1"/>
      <w:marLeft w:val="0"/>
      <w:marRight w:val="0"/>
      <w:marTop w:val="0"/>
      <w:marBottom w:val="0"/>
      <w:divBdr>
        <w:top w:val="none" w:sz="0" w:space="0" w:color="auto"/>
        <w:left w:val="none" w:sz="0" w:space="0" w:color="auto"/>
        <w:bottom w:val="none" w:sz="0" w:space="0" w:color="auto"/>
        <w:right w:val="none" w:sz="0" w:space="0" w:color="auto"/>
      </w:divBdr>
    </w:div>
    <w:div w:id="836653781">
      <w:bodyDiv w:val="1"/>
      <w:marLeft w:val="0"/>
      <w:marRight w:val="0"/>
      <w:marTop w:val="0"/>
      <w:marBottom w:val="0"/>
      <w:divBdr>
        <w:top w:val="none" w:sz="0" w:space="0" w:color="auto"/>
        <w:left w:val="none" w:sz="0" w:space="0" w:color="auto"/>
        <w:bottom w:val="none" w:sz="0" w:space="0" w:color="auto"/>
        <w:right w:val="none" w:sz="0" w:space="0" w:color="auto"/>
      </w:divBdr>
    </w:div>
    <w:div w:id="851576360">
      <w:bodyDiv w:val="1"/>
      <w:marLeft w:val="0"/>
      <w:marRight w:val="0"/>
      <w:marTop w:val="0"/>
      <w:marBottom w:val="0"/>
      <w:divBdr>
        <w:top w:val="none" w:sz="0" w:space="0" w:color="auto"/>
        <w:left w:val="none" w:sz="0" w:space="0" w:color="auto"/>
        <w:bottom w:val="none" w:sz="0" w:space="0" w:color="auto"/>
        <w:right w:val="none" w:sz="0" w:space="0" w:color="auto"/>
      </w:divBdr>
    </w:div>
    <w:div w:id="871839820">
      <w:bodyDiv w:val="1"/>
      <w:marLeft w:val="0"/>
      <w:marRight w:val="0"/>
      <w:marTop w:val="0"/>
      <w:marBottom w:val="0"/>
      <w:divBdr>
        <w:top w:val="none" w:sz="0" w:space="0" w:color="auto"/>
        <w:left w:val="none" w:sz="0" w:space="0" w:color="auto"/>
        <w:bottom w:val="none" w:sz="0" w:space="0" w:color="auto"/>
        <w:right w:val="none" w:sz="0" w:space="0" w:color="auto"/>
      </w:divBdr>
    </w:div>
    <w:div w:id="990016436">
      <w:bodyDiv w:val="1"/>
      <w:marLeft w:val="0"/>
      <w:marRight w:val="0"/>
      <w:marTop w:val="0"/>
      <w:marBottom w:val="0"/>
      <w:divBdr>
        <w:top w:val="none" w:sz="0" w:space="0" w:color="auto"/>
        <w:left w:val="none" w:sz="0" w:space="0" w:color="auto"/>
        <w:bottom w:val="none" w:sz="0" w:space="0" w:color="auto"/>
        <w:right w:val="none" w:sz="0" w:space="0" w:color="auto"/>
      </w:divBdr>
    </w:div>
    <w:div w:id="1002664110">
      <w:bodyDiv w:val="1"/>
      <w:marLeft w:val="0"/>
      <w:marRight w:val="0"/>
      <w:marTop w:val="0"/>
      <w:marBottom w:val="0"/>
      <w:divBdr>
        <w:top w:val="none" w:sz="0" w:space="0" w:color="auto"/>
        <w:left w:val="none" w:sz="0" w:space="0" w:color="auto"/>
        <w:bottom w:val="none" w:sz="0" w:space="0" w:color="auto"/>
        <w:right w:val="none" w:sz="0" w:space="0" w:color="auto"/>
      </w:divBdr>
    </w:div>
    <w:div w:id="1017000400">
      <w:bodyDiv w:val="1"/>
      <w:marLeft w:val="0"/>
      <w:marRight w:val="0"/>
      <w:marTop w:val="0"/>
      <w:marBottom w:val="0"/>
      <w:divBdr>
        <w:top w:val="none" w:sz="0" w:space="0" w:color="auto"/>
        <w:left w:val="none" w:sz="0" w:space="0" w:color="auto"/>
        <w:bottom w:val="none" w:sz="0" w:space="0" w:color="auto"/>
        <w:right w:val="none" w:sz="0" w:space="0" w:color="auto"/>
      </w:divBdr>
    </w:div>
    <w:div w:id="1136142220">
      <w:bodyDiv w:val="1"/>
      <w:marLeft w:val="0"/>
      <w:marRight w:val="0"/>
      <w:marTop w:val="0"/>
      <w:marBottom w:val="0"/>
      <w:divBdr>
        <w:top w:val="none" w:sz="0" w:space="0" w:color="auto"/>
        <w:left w:val="none" w:sz="0" w:space="0" w:color="auto"/>
        <w:bottom w:val="none" w:sz="0" w:space="0" w:color="auto"/>
        <w:right w:val="none" w:sz="0" w:space="0" w:color="auto"/>
      </w:divBdr>
    </w:div>
    <w:div w:id="1154835934">
      <w:bodyDiv w:val="1"/>
      <w:marLeft w:val="0"/>
      <w:marRight w:val="0"/>
      <w:marTop w:val="0"/>
      <w:marBottom w:val="0"/>
      <w:divBdr>
        <w:top w:val="none" w:sz="0" w:space="0" w:color="auto"/>
        <w:left w:val="none" w:sz="0" w:space="0" w:color="auto"/>
        <w:bottom w:val="none" w:sz="0" w:space="0" w:color="auto"/>
        <w:right w:val="none" w:sz="0" w:space="0" w:color="auto"/>
      </w:divBdr>
    </w:div>
    <w:div w:id="1232888484">
      <w:bodyDiv w:val="1"/>
      <w:marLeft w:val="0"/>
      <w:marRight w:val="0"/>
      <w:marTop w:val="0"/>
      <w:marBottom w:val="0"/>
      <w:divBdr>
        <w:top w:val="none" w:sz="0" w:space="0" w:color="auto"/>
        <w:left w:val="none" w:sz="0" w:space="0" w:color="auto"/>
        <w:bottom w:val="none" w:sz="0" w:space="0" w:color="auto"/>
        <w:right w:val="none" w:sz="0" w:space="0" w:color="auto"/>
      </w:divBdr>
    </w:div>
    <w:div w:id="1390114241">
      <w:bodyDiv w:val="1"/>
      <w:marLeft w:val="0"/>
      <w:marRight w:val="0"/>
      <w:marTop w:val="0"/>
      <w:marBottom w:val="0"/>
      <w:divBdr>
        <w:top w:val="none" w:sz="0" w:space="0" w:color="auto"/>
        <w:left w:val="none" w:sz="0" w:space="0" w:color="auto"/>
        <w:bottom w:val="none" w:sz="0" w:space="0" w:color="auto"/>
        <w:right w:val="none" w:sz="0" w:space="0" w:color="auto"/>
      </w:divBdr>
    </w:div>
    <w:div w:id="1411854370">
      <w:bodyDiv w:val="1"/>
      <w:marLeft w:val="0"/>
      <w:marRight w:val="0"/>
      <w:marTop w:val="0"/>
      <w:marBottom w:val="0"/>
      <w:divBdr>
        <w:top w:val="none" w:sz="0" w:space="0" w:color="auto"/>
        <w:left w:val="none" w:sz="0" w:space="0" w:color="auto"/>
        <w:bottom w:val="none" w:sz="0" w:space="0" w:color="auto"/>
        <w:right w:val="none" w:sz="0" w:space="0" w:color="auto"/>
      </w:divBdr>
    </w:div>
    <w:div w:id="1437940852">
      <w:bodyDiv w:val="1"/>
      <w:marLeft w:val="0"/>
      <w:marRight w:val="0"/>
      <w:marTop w:val="0"/>
      <w:marBottom w:val="0"/>
      <w:divBdr>
        <w:top w:val="none" w:sz="0" w:space="0" w:color="auto"/>
        <w:left w:val="none" w:sz="0" w:space="0" w:color="auto"/>
        <w:bottom w:val="none" w:sz="0" w:space="0" w:color="auto"/>
        <w:right w:val="none" w:sz="0" w:space="0" w:color="auto"/>
      </w:divBdr>
    </w:div>
    <w:div w:id="1546140909">
      <w:bodyDiv w:val="1"/>
      <w:marLeft w:val="0"/>
      <w:marRight w:val="0"/>
      <w:marTop w:val="0"/>
      <w:marBottom w:val="0"/>
      <w:divBdr>
        <w:top w:val="none" w:sz="0" w:space="0" w:color="auto"/>
        <w:left w:val="none" w:sz="0" w:space="0" w:color="auto"/>
        <w:bottom w:val="none" w:sz="0" w:space="0" w:color="auto"/>
        <w:right w:val="none" w:sz="0" w:space="0" w:color="auto"/>
      </w:divBdr>
    </w:div>
    <w:div w:id="1630939711">
      <w:bodyDiv w:val="1"/>
      <w:marLeft w:val="0"/>
      <w:marRight w:val="0"/>
      <w:marTop w:val="0"/>
      <w:marBottom w:val="0"/>
      <w:divBdr>
        <w:top w:val="none" w:sz="0" w:space="0" w:color="auto"/>
        <w:left w:val="none" w:sz="0" w:space="0" w:color="auto"/>
        <w:bottom w:val="none" w:sz="0" w:space="0" w:color="auto"/>
        <w:right w:val="none" w:sz="0" w:space="0" w:color="auto"/>
      </w:divBdr>
    </w:div>
    <w:div w:id="1933312752">
      <w:bodyDiv w:val="1"/>
      <w:marLeft w:val="0"/>
      <w:marRight w:val="0"/>
      <w:marTop w:val="0"/>
      <w:marBottom w:val="0"/>
      <w:divBdr>
        <w:top w:val="none" w:sz="0" w:space="0" w:color="auto"/>
        <w:left w:val="none" w:sz="0" w:space="0" w:color="auto"/>
        <w:bottom w:val="none" w:sz="0" w:space="0" w:color="auto"/>
        <w:right w:val="none" w:sz="0" w:space="0" w:color="auto"/>
      </w:divBdr>
    </w:div>
    <w:div w:id="2063015364">
      <w:bodyDiv w:val="1"/>
      <w:marLeft w:val="0"/>
      <w:marRight w:val="0"/>
      <w:marTop w:val="0"/>
      <w:marBottom w:val="0"/>
      <w:divBdr>
        <w:top w:val="none" w:sz="0" w:space="0" w:color="auto"/>
        <w:left w:val="none" w:sz="0" w:space="0" w:color="auto"/>
        <w:bottom w:val="none" w:sz="0" w:space="0" w:color="auto"/>
        <w:right w:val="none" w:sz="0" w:space="0" w:color="auto"/>
      </w:divBdr>
    </w:div>
    <w:div w:id="208151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4" Type="http://schemas.openxmlformats.org/officeDocument/2006/relationships/header" Target="header1.xml"/><Relationship Id="rId9"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1173d878-a7f2-45cc-a3f5-d6ed21f7c1bc" ContentTypeId="0x010100A4F94509463A4443B66847FE0D2AEE25"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BCA27-C627-4590-9461-422C5A410B12}"/>
</file>

<file path=customXml/itemProps2.xml><?xml version="1.0" encoding="utf-8"?>
<ds:datastoreItem xmlns:ds="http://schemas.openxmlformats.org/officeDocument/2006/customXml" ds:itemID="{7E5D1C63-FB0B-422F-9358-5B9AE37D51E2}">
  <ds:schemaRefs>
    <ds:schemaRef ds:uri="http://schemas.microsoft.com/sharepoint/v3/contenttype/forms"/>
  </ds:schemaRefs>
</ds:datastoreItem>
</file>

<file path=customXml/itemProps3.xml><?xml version="1.0" encoding="utf-8"?>
<ds:datastoreItem xmlns:ds="http://schemas.openxmlformats.org/officeDocument/2006/customXml" ds:itemID="{035A0998-CAFC-479C-A128-80CBC6310B8B}">
  <ds:schemaRefs>
    <ds:schemaRef ds:uri="http://schemas.microsoft.com/office/2006/metadata/longProperties"/>
  </ds:schemaRefs>
</ds:datastoreItem>
</file>

<file path=customXml/itemProps4.xml><?xml version="1.0" encoding="utf-8"?>
<ds:datastoreItem xmlns:ds="http://schemas.openxmlformats.org/officeDocument/2006/customXml" ds:itemID="{2478269F-FECD-4DD9-93A9-56E634CF3536}">
  <ds:schemaRefs>
    <ds:schemaRef ds:uri="Microsoft.SharePoint.Taxonomy.ContentTypeSync"/>
  </ds:schemaRefs>
</ds:datastoreItem>
</file>

<file path=customXml/itemProps5.xml><?xml version="1.0" encoding="utf-8"?>
<ds:datastoreItem xmlns:ds="http://schemas.openxmlformats.org/officeDocument/2006/customXml" ds:itemID="{C00B9EDD-4338-4019-9AB0-1CB5B697C98F}">
  <ds:schemaRefs>
    <ds:schemaRef ds:uri="http://schemas.microsoft.com/office/2006/metadata/properties"/>
    <ds:schemaRef ds:uri="http://schemas.microsoft.com/office/infopath/2007/PartnerControls"/>
    <ds:schemaRef ds:uri="http://purl.org/dc/terms/"/>
    <ds:schemaRef ds:uri="e887f2dc-4e4e-436f-8fc9-1ce5bbc2a867"/>
    <ds:schemaRef ds:uri="http://schemas.microsoft.com/office/2006/documentManagement/types"/>
    <ds:schemaRef ds:uri="http://purl.org/dc/dcmitype/"/>
    <ds:schemaRef ds:uri="http://schemas.openxmlformats.org/package/2006/metadata/core-properties"/>
    <ds:schemaRef ds:uri="http://purl.org/dc/elements/1.1/"/>
    <ds:schemaRef ds:uri="http://www.w3.org/XML/1998/namespace"/>
    <ds:schemaRef ds:uri="0b8a22d5-5f43-4d1a-a8c3-4165b374ecfc"/>
  </ds:schemaRefs>
</ds:datastoreItem>
</file>

<file path=customXml/itemProps6.xml><?xml version="1.0" encoding="utf-8"?>
<ds:datastoreItem xmlns:ds="http://schemas.openxmlformats.org/officeDocument/2006/customXml" ds:itemID="{5A9B34CC-B818-4B79-BA38-8FD8FCBED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3946A6B3</Template>
  <TotalTime>0</TotalTime>
  <Pages>3</Pages>
  <Words>973</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UK A4 portrait logo top template</vt:lpstr>
    </vt:vector>
  </TitlesOfParts>
  <Company>ING BARINGS</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A4 portrait logo top template</dc:title>
  <dc:creator>Kevin Miller</dc:creator>
  <cp:lastModifiedBy>Cosmas Woyo</cp:lastModifiedBy>
  <cp:revision>51</cp:revision>
  <cp:lastPrinted>2017-09-15T13:53:00Z</cp:lastPrinted>
  <dcterms:created xsi:type="dcterms:W3CDTF">2016-12-13T09:37:00Z</dcterms:created>
  <dcterms:modified xsi:type="dcterms:W3CDTF">2017-10-31T16:09:00Z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Owner">
    <vt:lpwstr>Jon Labram</vt:lpwstr>
  </property>
  <property fmtid="{D5CDD505-2E9C-101B-9397-08002B2CF9AE}" pid="3" name="ContentTypeId">
    <vt:lpwstr>0x01010085AC826E8FC01349BE8AF9B6923EAC51</vt:lpwstr>
  </property>
</Properties>
</file>