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Normalization Roadmap</w:t>
      </w:r>
    </w:p>
    <w:p>
      <w:pPr>
        <w:jc w:val="center"/>
      </w:pPr>
      <w:r>
        <w:rPr>
          <w:i/>
          <w:sz w:val="20"/>
        </w:rPr>
        <w:t>Qortana / Operator Ava Normalization Document</w:t>
      </w:r>
    </w:p>
    <w:p/>
    <w:p/>
    <w:p>
      <w:r>
        <w:rPr>
          <w:b w:val="0"/>
          <w:sz w:val="22"/>
        </w:rPr>
        <w:t>This folder is the source of truth for turning the current Sandlers/OpenClaw/NemoClaw setup into a repeatable fleet factory.</w:t>
      </w:r>
    </w:p>
    <w:p/>
    <w:p>
      <w:r>
        <w:rPr>
          <w:b w:val="0"/>
          <w:sz w:val="22"/>
        </w:rPr>
        <w:t>The goal is not to preserve every historical workaround. The goal is to define the canonical path future agents and future deploys should follow.</w:t>
      </w:r>
    </w:p>
    <w:p/>
    <w:p>
      <w:pPr>
        <w:pStyle w:val="Heading2"/>
      </w:pPr>
      <w:r>
        <w:t>Checkpoint Order</w:t>
      </w:r>
    </w:p>
    <w:p/>
    <w:p>
      <w:pPr>
        <w:pStyle w:val="ListNumber"/>
      </w:pPr>
      <w:r>
        <w:rPr>
          <w:b w:val="0"/>
          <w:sz w:val="22"/>
        </w:rPr>
        <w:t>Canonical runtime layout</w:t>
      </w:r>
    </w:p>
    <w:p>
      <w:pPr>
        <w:pStyle w:val="ListNumber"/>
      </w:pPr>
      <w:r>
        <w:rPr>
          <w:b w:val="0"/>
          <w:sz w:val="22"/>
        </w:rPr>
        <w:t>Golden server preset</w:t>
      </w:r>
    </w:p>
    <w:p>
      <w:pPr>
        <w:pStyle w:val="ListNumber"/>
      </w:pPr>
      <w:r>
        <w:rPr>
          <w:b w:val="0"/>
          <w:sz w:val="22"/>
        </w:rPr>
        <w:t>Golden workspace preset</w:t>
      </w:r>
    </w:p>
    <w:p>
      <w:pPr>
        <w:pStyle w:val="ListNumber"/>
      </w:pPr>
      <w:r>
        <w:rPr>
          <w:b w:val="0"/>
          <w:sz w:val="22"/>
        </w:rPr>
        <w:t>Tenant profile schema</w:t>
      </w:r>
    </w:p>
    <w:p>
      <w:pPr>
        <w:pStyle w:val="ListNumber"/>
      </w:pPr>
      <w:r>
        <w:rPr>
          <w:b w:val="0"/>
          <w:sz w:val="22"/>
        </w:rPr>
        <w:t>Provisioning workflow</w:t>
      </w:r>
    </w:p>
    <w:p>
      <w:pPr>
        <w:pStyle w:val="ListNumber"/>
      </w:pPr>
      <w:r>
        <w:rPr>
          <w:b w:val="0"/>
          <w:sz w:val="22"/>
        </w:rPr>
        <w:t>Ready-check and smoke-test contract</w:t>
      </w:r>
    </w:p>
    <w:p/>
    <w:p>
      <w:pPr>
        <w:pStyle w:val="Heading2"/>
      </w:pPr>
      <w:r>
        <w:t>Why This Order</w:t>
      </w:r>
    </w:p>
    <w:p/>
    <w:p>
      <w:r>
        <w:rPr>
          <w:b w:val="0"/>
          <w:sz w:val="22"/>
        </w:rPr>
        <w:t>The runtime layout comes first because every other preset depends on writing to the correct live location.</w:t>
      </w:r>
    </w:p>
    <w:p/>
    <w:p>
      <w:r>
        <w:rPr>
          <w:b w:val="0"/>
          <w:sz w:val="22"/>
        </w:rPr>
        <w:t>If deploy scripts, dashboard state reads, workspace sync, and runtime session state do not agree on the same tenant root, every later layer becomes brittle:</w:t>
      </w:r>
    </w:p>
    <w:p/>
    <w:p>
      <w:pPr>
        <w:pStyle w:val="ListBullet"/>
      </w:pPr>
      <w:r>
        <w:rPr>
          <w:b w:val="0"/>
          <w:sz w:val="22"/>
        </w:rPr>
        <w:t>server bootstrap can succeed in the wrong place</w:t>
      </w:r>
    </w:p>
    <w:p>
      <w:pPr>
        <w:pStyle w:val="ListBullet"/>
      </w:pPr>
      <w:r>
        <w:rPr>
          <w:b w:val="0"/>
          <w:sz w:val="22"/>
        </w:rPr>
        <w:t>workspace preset can be applied to a mirror instead of the live workspace</w:t>
      </w:r>
    </w:p>
    <w:p>
      <w:pPr>
        <w:pStyle w:val="ListBullet"/>
      </w:pPr>
      <w:r>
        <w:rPr>
          <w:b w:val="0"/>
          <w:sz w:val="22"/>
        </w:rPr>
        <w:t>dashboard tabs can read stale or fake state</w:t>
      </w:r>
    </w:p>
    <w:p>
      <w:pPr>
        <w:pStyle w:val="ListBullet"/>
      </w:pPr>
      <w:r>
        <w:rPr>
          <w:b w:val="0"/>
          <w:sz w:val="22"/>
        </w:rPr>
        <w:t>session snapshots can keep old prompt state alive even after a "successful" migration</w:t>
      </w:r>
    </w:p>
    <w:p/>
    <w:p>
      <w:r>
        <w:rPr>
          <w:b w:val="0"/>
          <w:sz w:val="22"/>
        </w:rPr>
        <w:t>Checkpoint 1 is therefore the foundation for the entire factory.</w:t>
      </w:r>
    </w:p>
    <w:p/>
    <w:p>
      <w:pPr>
        <w:pStyle w:val="Heading2"/>
      </w:pPr>
      <w:r>
        <w:t>Current Document Set</w:t>
      </w:r>
    </w:p>
    <w:p/>
    <w:p>
      <w:pPr>
        <w:pStyle w:val="ListBullet"/>
      </w:pPr>
      <w:r>
        <w:rPr>
          <w:b w:val="0"/>
          <w:sz w:val="22"/>
        </w:rPr>
        <w:t>`checkpoint-01-canonical-runtime-layout.md`</w:t>
      </w:r>
    </w:p>
    <w:p>
      <w:pPr>
        <w:pStyle w:val="ListBullet"/>
      </w:pPr>
      <w:r>
        <w:rPr>
          <w:b w:val="0"/>
          <w:sz w:val="22"/>
        </w:rPr>
        <w:t>the detailed spec for the first normalization checkpoint</w:t>
      </w:r>
    </w:p>
    <w:p/>
    <w:p>
      <w:pPr>
        <w:pStyle w:val="Heading2"/>
      </w:pPr>
      <w:r>
        <w:t>Document Status</w:t>
      </w:r>
    </w:p>
    <w:p/>
    <w:p>
      <w:r>
        <w:rPr>
          <w:b w:val="0"/>
          <w:sz w:val="22"/>
        </w:rPr>
        <w:t>These docs are design and operating documents.</w:t>
      </w:r>
    </w:p>
    <w:p/>
    <w:p>
      <w:r>
        <w:rPr>
          <w:b w:val="0"/>
          <w:sz w:val="22"/>
        </w:rPr>
        <w:t>They define the desired normalized system, highlight current drift, and establish the contract future implementation should satisfy.</w:t>
      </w:r>
    </w:p>
    <w:p/>
    <w:p>
      <w:r>
        <w:rPr>
          <w:b w:val="0"/>
          <w:sz w:val="22"/>
        </w:rPr>
        <w:t>They do not, by themselves, mean the system is already normalized.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