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06 — Decisiones Arquitectónicas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registra las decisiones estratégicas, funcionales, tecnológicas y arquitectónicas oficialmente aprobadas para Tu Mobil Amigo V1.0.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propósito es evitar que decisiones previamente aceptadas vuelvan a discutirse o modificarse sin justificación técnica, financiera o de seguridad.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Regla de Gobierno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decisión registrada en este documento se considera: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 que exista: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evaluación.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documentada.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Aprobación formal.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DA-001 — Tecnologías Oficiales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Aplicaciones Operativas</w:t>
      </w:r>
    </w:p>
    <w:p w:rsidR="00000000" w:rsidDel="00000000" w:rsidP="00000000" w:rsidRDefault="00000000" w:rsidRPr="00000000" w14:paraId="0000001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Utilizado para:</w:t>
      </w:r>
    </w:p>
    <w:p w:rsidR="00000000" w:rsidDel="00000000" w:rsidP="00000000" w:rsidRDefault="00000000" w:rsidRPr="00000000" w14:paraId="0000001D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Asesor.</w:t>
      </w:r>
    </w:p>
    <w:p w:rsidR="00000000" w:rsidDel="00000000" w:rsidP="00000000" w:rsidRDefault="00000000" w:rsidRPr="00000000" w14:paraId="0000001F">
      <w:pPr>
        <w:widowControl w:val="0"/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Utilizado para: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rPr>
          <w:b w:val="0"/>
          <w:bCs w:val="0"/>
          <w:sz w:val="22"/>
          <w:szCs w:val="22"/>
        </w:rPr>
      </w:pPr>
      <w:bookmarkStart w:colFirst="0" w:colLast="0" w:name="_n0p4ugsydrc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DA-002 — Backend Oficial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backend será construido utilizando: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Functions.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DA-003 — Base de Datos Oficial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de datos oficial será: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DA-004 — Metodología de Construcción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deberá construirse por fases.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obligatorio: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Gobierno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Producción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DA-005 — Roles del Sistema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únicamente tres roles oficiales.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 servicios.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 servicios.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 la plataforma.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DA-006 — Servicios Iniciales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primera versión operará con: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Mototaxi.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DA-007 — Servicios Futuros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deberá soportar: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Mensajería.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Domicilios.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Motocarro.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liviana.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rediseños estructurales.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DA-008 — Modalidades de Servicio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Existirán dos modalidades oficiales.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Digital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Generado desde la plataforma.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Externo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Generado fuera de la plataforma y registrado mediante QR.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DA-009 — Sistema QR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usuario tendrá un QR único.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QR será utilizado para: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servicios externos.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DA-010 — Restricción de Autobeneficio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prohibido: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cliente_uuid = asesor_uuid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DA-011 — Sistema Tarifario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calculará una tarifa sugerida.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tarifa será utilizada como referencia de negociación.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no impondrá un precio obligatorio.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DA-012 — Motor de Negociación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podrá ofertar.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asesor podrá: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Rechazar.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Contraofertar una única vez.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decisión final siempre pertenecerá al cliente.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DA-013 — Exclusividad Transaccional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asesor podrá mantener múltiples negociaciones abiertas simultáneamente.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un cliente acepte una negociación: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servicio será adjudicado.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demás negociaciones quedarán cerradas.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participantes serán notificados.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DA-014 — Trust Score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usuarios tendrán un Trust Score.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Restricción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Trust Score jamás modificará: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sugeridos.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Costos operativos.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Función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Medir confianza y riesgo.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DA-015 — Score de Negociación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historial de negociación influirá en la amplitud permitida para futuras negociaciones.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modificará el valor base calculado por el sistema.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DA-016 — Categorías del Ecosistema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categorías oficiales serán: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DA-017 — Modelo Multinivel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red multinivel operará inicialmente con: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niveles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Abuelo.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DA-018 — Billeteras del Cliente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tendrá una única billetera de beneficios.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 Disponible.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Ganado.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Liberado.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Ganadas.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Liberadas.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DA-019 — Billeteras del Asesor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asesor tendrá dos mundos financieros independientes.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Operativa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operar.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de Beneficios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incentivos.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Restricción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podrán mezclarse.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DA-020 — Saldo Operativo Mínimo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asesor deberá mantener saldo mínimo.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inicial: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$5.000 COP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saldo es inferior: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recibe servicios.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acepta servicios.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aparece disponible.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DA-021 — IMF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implementará un Índice de Maduración Financiera.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liberaciones.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Reducir fraude.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Incentivar permanencia.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DA-022 — Participación Mínima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liberación de beneficios no dependerá únicamente del tiempo.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dependerá de: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Participación.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activa.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DA-023 — Motor Antifraude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utilizará análisis conductual.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Detectará: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simulados.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ficticias.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Patrones sospechosos.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Multicuentas.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DA-024 — Device Fingerprint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dispositivos generarán una huella digital.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Detección de fraude.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Detección de multicuentas.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DA-025 — Principio de Escalabilidad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arquitectura deberá diseñarse pensando en: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Santa Marta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Colombia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Latinoamérica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rediseños estructurales.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DA-026 — Ecosistema Comercial Futuro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deberá permitir integrar posteriormente: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Comercios aliados.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Talleres aliados.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Supermercados aliados.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Negocios propios.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DA-027 — Fuente de Verdad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exista conflicto entre: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Conversaciones.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antigua.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Prevalecerá: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aprobada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APROBADA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DA-028 — Incentivo por Programación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Los servicios programados entre 2 y 12 horas de anticipación recibirán una redistribución de beneficios.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Distribución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 Normal: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Empresa 30%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Cliente 30%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 Programado: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Empresa 25%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Cliente 35%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Justificación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Reducir costos operativos.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Mejorar planificación.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Incrementar adopción del sistema.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Estado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DA-029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Ningún parámetro de negocio configurable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podrá modelarse mediante columnas fijas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cuando exista la posibilidad razonable de crecimiento futuro.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Se priorizará el modelo: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Configuración → Registro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Configuración → Columna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9n8m6tmuobz5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DA-030 — Tiempo Único de Negociación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Todas las ofertas y contraofertas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compartirán el mismo tiempo máximo de vida.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180 segundos.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Configurado desde base de datos.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DA-0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— Evolución de Infraestructura Cartográfica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Fase V1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flutter_map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Nominatim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Coste operativo mínimo.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Validación del modelo de negocio.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Independencia de proveedores comerciales.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Fase V2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Evaluar: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cuando se alcancen métricas de crecimiento que justifiquen SLA, rendimiento y soporte empresarial.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Fase V3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Evaluar: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TileServer Propio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PostGIS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Planetiler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Infraestructura dedicada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cuando el volumen operativo requiera independencia total de terceros.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Principio Rector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plataforma deberá construirse desde V1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forma agnóstica al proveedor cartográfico.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Flutter nunca consumirá directamente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Google Maps, MapTiler o TileServer.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Toda interacción cartográfica deberá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realizarse mediante una capa de abstracción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propia del backend.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Justificación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Permite migrar entre proveedores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sin reescribir la aplicación.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Reduce dependencia tecnológica.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Facilita crecimiento progresivo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según disponibilidad financiera.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45c3s4ay8xs" w:id="2"/>
      <w:bookmarkEnd w:id="2"/>
      <w:r w:rsidDel="00000000" w:rsidR="00000000" w:rsidRPr="00000000">
        <w:rPr>
          <w:sz w:val="34"/>
          <w:szCs w:val="34"/>
          <w:rtl w:val="0"/>
        </w:rPr>
        <w:t xml:space="preserve">DA-031 — Arquitectura Modular por Dominios</w:t>
      </w:r>
    </w:p>
    <w:p w:rsidR="00000000" w:rsidDel="00000000" w:rsidP="00000000" w:rsidRDefault="00000000" w:rsidRPr="00000000" w14:paraId="000001A9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Aprobada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6cnwaqnjwjes" w:id="3"/>
      <w:bookmarkEnd w:id="3"/>
      <w:r w:rsidDel="00000000" w:rsidR="00000000" w:rsidRPr="00000000">
        <w:rPr>
          <w:sz w:val="26"/>
          <w:szCs w:val="26"/>
          <w:rtl w:val="0"/>
        </w:rPr>
        <w:t xml:space="preserve">Decisión</w:t>
      </w:r>
    </w:p>
    <w:p w:rsidR="00000000" w:rsidDel="00000000" w:rsidP="00000000" w:rsidRDefault="00000000" w:rsidRPr="00000000" w14:paraId="000001A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 Tu Mobil Amigo se implementará como un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, organizado por dominios funcionales completamente desacoplados.</w:t>
      </w:r>
    </w:p>
    <w:p w:rsidR="00000000" w:rsidDel="00000000" w:rsidP="00000000" w:rsidRDefault="00000000" w:rsidRPr="00000000" w14:paraId="000001A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responsable exclusivamente de su contexto de negocio y se comunicará mediante interfaces, contratos (DTO) y eventos internos.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lkot5nj9iaxh" w:id="4"/>
      <w:bookmarkEnd w:id="4"/>
      <w:r w:rsidDel="00000000" w:rsidR="00000000" w:rsidRPr="00000000">
        <w:rPr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1A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obtener las ventajas de un monolito durante las primeras etapas del proyecto: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complejidad operativa;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simplificado;</w:t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costo de infraestructura;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depuración;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velocidad de desarrollo.</w:t>
      </w:r>
    </w:p>
    <w:p w:rsidR="00000000" w:rsidDel="00000000" w:rsidP="00000000" w:rsidRDefault="00000000" w:rsidRPr="00000000" w14:paraId="000001B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Sin renunciar a la posibilidad de evolucionar posteriormente hacia microservicios.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rauzbwrsh3d" w:id="5"/>
      <w:bookmarkEnd w:id="5"/>
      <w:r w:rsidDel="00000000" w:rsidR="00000000" w:rsidRPr="00000000">
        <w:rPr>
          <w:sz w:val="26"/>
          <w:szCs w:val="26"/>
          <w:rtl w:val="0"/>
        </w:rPr>
        <w:t xml:space="preserve">Dominios definidos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Multilevel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lgetu8eejfh0" w:id="6"/>
      <w:bookmarkEnd w:id="6"/>
      <w:r w:rsidDel="00000000" w:rsidR="00000000" w:rsidRPr="00000000">
        <w:rPr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1C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podrá acceder directamente a la implementación interna de otro dominio.</w:t>
      </w:r>
    </w:p>
    <w:p w:rsidR="00000000" w:rsidDel="00000000" w:rsidP="00000000" w:rsidRDefault="00000000" w:rsidRPr="00000000" w14:paraId="000001C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deberá realizarse mediante contratos públicos.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DA-032 — Compatibilidad ERP</w:t>
      </w:r>
    </w:p>
    <w:p w:rsidR="00000000" w:rsidDel="00000000" w:rsidP="00000000" w:rsidRDefault="00000000" w:rsidRPr="00000000" w14:paraId="000001C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integración futura con sistemas ERP y contables sin requerir rediseño estructural de: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Administrativo.</w:t>
      </w:r>
    </w:p>
    <w:p w:rsidR="00000000" w:rsidDel="00000000" w:rsidP="00000000" w:rsidRDefault="00000000" w:rsidRPr="00000000" w14:paraId="000001C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deberá realizarse mediante adaptadores desacoplados.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s4gxrkqjjl6r" w:id="7"/>
      <w:bookmarkEnd w:id="7"/>
      <w:r w:rsidDel="00000000" w:rsidR="00000000" w:rsidRPr="00000000">
        <w:rPr>
          <w:sz w:val="26"/>
          <w:szCs w:val="26"/>
          <w:rtl w:val="0"/>
        </w:rPr>
        <w:t xml:space="preserve">DA-033 — Separación Tecnológica Frontend</w:t>
      </w:r>
    </w:p>
    <w:p w:rsidR="00000000" w:rsidDel="00000000" w:rsidP="00000000" w:rsidRDefault="00000000" w:rsidRPr="00000000" w14:paraId="000001D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operativas (Cliente y Asesor) serán desarrolladas en Flutter.</w:t>
      </w:r>
    </w:p>
    <w:p w:rsidR="00000000" w:rsidDel="00000000" w:rsidP="00000000" w:rsidRDefault="00000000" w:rsidRPr="00000000" w14:paraId="000001D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portales de gestión (Administrador y Superadministrador) serán desarrollados en React.</w:t>
      </w:r>
    </w:p>
    <w:p w:rsidR="00000000" w:rsidDel="00000000" w:rsidP="00000000" w:rsidRDefault="00000000" w:rsidRPr="00000000" w14:paraId="000001D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 negocio permanecerá centralizada en Backend y PostgreSQL.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  <w:t xml:space="preserve">Fecha</w:t>
        <w:tab/>
        <w:t xml:space="preserve">Decisión</w:t>
        <w:tab/>
        <w:t xml:space="preserve">Estado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  <w:t xml:space="preserve">V1.0</w:t>
        <w:tab/>
        <w:t xml:space="preserve">Creación inicial</w:t>
        <w:tab/>
        <w:t xml:space="preserve">Activa</w:t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tl w:val="0"/>
        </w:rPr>
        <w:t xml:space="preserve">Fin del Documento 06 — Decisiones Arquitectónicas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