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Documento 08 — Modelo Operativo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Definir el funcionamiento operativo oficial de Tu Mobil Amigo V1.0.estableciendo la forma en que interactúan clientes, asesores, administradores y los diferentes motores de negocio de la plataforma.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Este documento describe: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Cómo se generan los servicios.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Cómo participan clientes y asesores.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Cómo se registran operaciones.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Cómo se generan beneficios.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Cómo se protege el ecosistema.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2. Actores del Sistema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Usuario que solicita servicios.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Solicitar servicios digitales.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Participar en negociaciones.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Acumular beneficios.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Construir red multinivel.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Registrar actividad verificable.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Prestador de servicios.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Puede operar como: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Mototaxista.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Taxista.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Mensajero.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Domiciliario.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Operador de motocarro.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Finanzas.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Operación.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## Administrador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* Configuración.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* Seguridad.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* Auditoría.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* Operación financiera.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* Supervisión del sistema.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3. Modalidades de Servicio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 Inmediato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 Programado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La plataforma operará bajo dos modalidades.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Modalidad A — Servicio Digital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Servicio originado desde la aplicación.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Motor Tarifario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Oferta Inicial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Negociación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Asignación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Finalización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Modalidad A — Servicio Externo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Servicio originado fuera de la plataforma.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Cliente encuentra asesor en la calle.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Cliente presenta QR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Asesor escanea QR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Servicio registrado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Modalidad B - Servicios Programados</w:t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Programación mínima de 2 horas.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máxima de 12 horas.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incentivo adicional para el cliente.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consumo operativo del ecosistema.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capacidad de planificación.</w:t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Beneficio: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cashback del cliente aumenta del 30% al 35% de la comisión distribuible.</w:t>
      </w:r>
    </w:p>
    <w:p w:rsidR="00000000" w:rsidDel="00000000" w:rsidP="00000000" w:rsidRDefault="00000000" w:rsidRPr="00000000" w14:paraId="0000007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será asumida por la participación empresarial.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4. Principio de Registro Universal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Todo servicio legítimo deberá poder registrarse.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No importa si fue generado: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Dentro de la aplicación.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Fuera de la aplicación.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La plataforma debe capturar actividad económica real.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5. Ciclo de Vida de un Servicio Digital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Paso 1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Cliente solicita servicio.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Paso 2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Motor Tarifario calcula: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Tarifa sugerida.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Piso permitido.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Techo permitido.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Paso 3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Cliente envía oferta inicial.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Paso 4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Asesores disponibles reciben la solicitud.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Paso 5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Cada asesor puede: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Aceptar.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Rechazar.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Realizar una única contraoferta.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Paso 6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Cliente toma decisión final.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Aceptar.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Rechazar.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Paso 7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Servicio adjudicado.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Paso 8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Servicio ejecutado.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Paso 9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Servicio finalizado.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Paso 10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Sistema genera: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Métricas.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Beneficios.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6. Exclusividad Transaccional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Un asesor podrá mantener múltiples negociaciones simultáneas.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Cuando un cliente acepta: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Servicio adjudicado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Automáticamente: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Todas las demás negociaciones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quedan cerradas.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7. Registro de Servicios Externos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Los servicios externos forman parte oficial del modelo operativo.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Capturar actividad económica real.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Flujo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Presenta QR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Asesor escanea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Registra servicio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Ingresa valor cobrado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Servicio auditado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7.1 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Regla de Contraoferta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Cada asesor podrá realizar: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1 única contraoferta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por servicio.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Sin embargo podrá mantener múltiples contraofertas activas en servicios distintos simultáneamente.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8. Restricción de Autobeneficio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Queda prohibido: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cliente_uuid = asesor_uuid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  <w:t xml:space="preserve">La operación será rechazada automáticamente.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9. Operación del Asesor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Todo asesor deberá mantener: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Bolsa Operativa Activa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Saldo Mínimo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Valor inicial: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$5.000 COP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Si el saldo es insuficiente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No podrá: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Aparecer disponible.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Recibir servicios.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  <w:t xml:space="preserve">Aceptar servicios.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10. Billeteras del Ecosistema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Billetera de Beneficios.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Cashback Ganado.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Cashback Liberado.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Comisiones Ganadas.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Comisiones Liberadas.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Bolsa Operativa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Utilizada para operar.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Bolsa de Beneficios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Utilizada para incentivos.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11. Principio de Liquidez Operativa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La Bolsa Operativa del asesor nunca podrá alimentarse mediante: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Beneficios.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Garantizar liquidez real dentro del sistema.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12. Participación en la Red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Todo usuario podrá: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  <w:t xml:space="preserve">Invitar usuarios.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Construir red.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Generar actividad legítima.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La red se utilizará para: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  <w:t xml:space="preserve">Crecimiento.</w:t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Fidelización.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13. Categorías de Participación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Todos los usuarios pertenecerán a una categoría.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Explorador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Viajero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Experto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Leyenda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Las categorías serán determinadas por: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IPA.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IPR.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Permanencia.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14. Principio de Igualdad Tarifaria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  <w:t xml:space="preserve">El sistema jamás modificará: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Tarifas.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Valores sugeridos.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  <w:t xml:space="preserve">Basándose en: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IPA.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  <w:t xml:space="preserve">IPR.</w:t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Todos los usuarios recibirán la misma referencia tarifaria.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15. Trust Score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Mide: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  <w:t xml:space="preserve">Riesgo.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  <w:t xml:space="preserve">Confiabilidad.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Comportamiento.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No modifica precios.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  <w:t xml:space="preserve">16. Índice de Participación Activa (IPA)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Mide: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Uso real.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  <w:t xml:space="preserve">Frecuencia.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  <w:t xml:space="preserve">Participación verificable.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  <w:t xml:space="preserve">La plataforma clasificará a los usuarios mediante categorías de actividad.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  <w:t xml:space="preserve">| Categoría  | Cliente (Servicios/Mes) | Asesor (Servicios/Mes) | IPA Máximo |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  <w:t xml:space="preserve">| ---------- | ----------------------- | ---------------------- | ---------- |</w:t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  <w:t xml:space="preserve">| Explorador | 0 - 9                   | 0 - 149                | 25         |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  <w:t xml:space="preserve">| Viajero    | 10 - 19                 | 150 - 199              | 50         |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| Experto    | 20 - 39                 | 200 - 249              | 75         |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| Leyenda    | 40+                     | 250+                   | 100        |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  <w:t xml:space="preserve">17. Índice de Participación de Red (IPR)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  <w:t xml:space="preserve">Mide: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  <w:t xml:space="preserve">Crecimiento de red.</w:t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  <w:t xml:space="preserve">Calidad de red.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  <w:t xml:space="preserve">Actividad de referidos.</w:t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  <w:t xml:space="preserve">La plataforma clasificará la actividad multinivel.</w:t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  <w:t xml:space="preserve">| Categoría  | Referidos Activos | IPR Máximo |</w:t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  <w:t xml:space="preserve">| ---------- | ----------------- | ---------- |</w:t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  <w:t xml:space="preserve">| Explorador | 0                 | 0          |</w:t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 xml:space="preserve">| Viajero    | 1 - 3             | 25         |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  <w:t xml:space="preserve">| Experto    | 4 - 10            | 75         |</w:t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  <w:t xml:space="preserve">| Leyenda    | 11+               | 100        |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  <w:t xml:space="preserve">18. Índice de Maduración Financiera (IMF)</w:t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tl w:val="0"/>
        </w:rPr>
        <w:t xml:space="preserve">Controla:</w:t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rPr/>
      </w:pPr>
      <w:r w:rsidDel="00000000" w:rsidR="00000000" w:rsidRPr="00000000">
        <w:rPr>
          <w:rtl w:val="0"/>
        </w:rPr>
        <w:t xml:space="preserve">Liberación de cashback.</w:t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  <w:t xml:space="preserve">Liberación de comisiones.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tl w:val="0"/>
        </w:rPr>
        <w:t xml:space="preserve">Velocidad de maduración.</w:t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tl w:val="0"/>
        </w:rPr>
        <w:t xml:space="preserve">El IMF controlará la liberación progresiva de beneficios.</w:t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  <w:t xml:space="preserve">Composición:</w:t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tl w:val="0"/>
        </w:rPr>
        <w:t xml:space="preserve">| Variable       | Peso |</w:t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  <w:t xml:space="preserve">| -------------- | ---- |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  <w:t xml:space="preserve">| Antigüedad     | 20%  |</w:t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tl w:val="0"/>
        </w:rPr>
        <w:t xml:space="preserve">| Trust Score    | 25%  |</w:t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  <w:t xml:space="preserve">| Actividad Real | 25%  |</w:t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  <w:t xml:space="preserve">| IPA            | 15%  |</w:t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  <w:t xml:space="preserve">| IPR            | 15%  |</w:t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rPr/>
      </w:pPr>
      <w:r w:rsidDel="00000000" w:rsidR="00000000" w:rsidRPr="00000000">
        <w:rPr>
          <w:rtl w:val="0"/>
        </w:rPr>
        <w:t xml:space="preserve">19. Motor Antifraude</w:t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tl w:val="0"/>
        </w:rPr>
        <w:t xml:space="preserve">Analiza:</w:t>
      </w:r>
    </w:p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rPr/>
      </w:pPr>
      <w:r w:rsidDel="00000000" w:rsidR="00000000" w:rsidRPr="00000000">
        <w:rPr>
          <w:rtl w:val="0"/>
        </w:rPr>
        <w:t xml:space="preserve">Servicios.</w:t>
      </w:r>
    </w:p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tl w:val="0"/>
        </w:rPr>
        <w:t xml:space="preserve">Negociaciones.</w:t>
      </w:r>
    </w:p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tl w:val="0"/>
        </w:rPr>
        <w:t xml:space="preserve">Redes.</w:t>
      </w:r>
    </w:p>
    <w:p w:rsidR="00000000" w:rsidDel="00000000" w:rsidP="00000000" w:rsidRDefault="00000000" w:rsidRPr="00000000" w14:paraId="000001A2">
      <w:pPr>
        <w:widowControl w:val="0"/>
        <w:rPr/>
      </w:pPr>
      <w:r w:rsidDel="00000000" w:rsidR="00000000" w:rsidRPr="00000000">
        <w:rPr>
          <w:rtl w:val="0"/>
        </w:rPr>
        <w:t xml:space="preserve">Dispositivos.</w:t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tl w:val="0"/>
        </w:rPr>
        <w:t xml:space="preserve">Billeteras.</w:t>
      </w:r>
    </w:p>
    <w:p w:rsidR="00000000" w:rsidDel="00000000" w:rsidP="00000000" w:rsidRDefault="00000000" w:rsidRPr="00000000" w14:paraId="000001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tl w:val="0"/>
        </w:rPr>
        <w:t xml:space="preserve">Detectar abuso antes de generar pérdidas.</w:t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rPr/>
      </w:pPr>
      <w:r w:rsidDel="00000000" w:rsidR="00000000" w:rsidRPr="00000000">
        <w:rPr>
          <w:rtl w:val="0"/>
        </w:rPr>
        <w:t xml:space="preserve">20. Principio de Actividad Real</w:t>
      </w:r>
    </w:p>
    <w:p w:rsidR="00000000" w:rsidDel="00000000" w:rsidP="00000000" w:rsidRDefault="00000000" w:rsidRPr="00000000" w14:paraId="000001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rPr/>
      </w:pPr>
      <w:r w:rsidDel="00000000" w:rsidR="00000000" w:rsidRPr="00000000">
        <w:rPr>
          <w:rtl w:val="0"/>
        </w:rPr>
        <w:t xml:space="preserve">Ningún beneficio podrá generarse sin actividad verificable.</w:t>
      </w:r>
    </w:p>
    <w:p w:rsidR="00000000" w:rsidDel="00000000" w:rsidP="00000000" w:rsidRDefault="00000000" w:rsidRPr="00000000" w14:paraId="000001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rPr>
          <w:rtl w:val="0"/>
        </w:rPr>
        <w:t xml:space="preserve">Todo beneficio deberá estar respaldado por:</w:t>
      </w:r>
    </w:p>
    <w:p w:rsidR="00000000" w:rsidDel="00000000" w:rsidP="00000000" w:rsidRDefault="00000000" w:rsidRPr="00000000" w14:paraId="000001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rPr>
          <w:rtl w:val="0"/>
        </w:rPr>
        <w:t xml:space="preserve">Servicio válido</w:t>
      </w:r>
    </w:p>
    <w:p w:rsidR="00000000" w:rsidDel="00000000" w:rsidP="00000000" w:rsidRDefault="00000000" w:rsidRPr="00000000" w14:paraId="000001B0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  <w:t xml:space="preserve">Usuario válido</w:t>
      </w:r>
    </w:p>
    <w:p w:rsidR="00000000" w:rsidDel="00000000" w:rsidP="00000000" w:rsidRDefault="00000000" w:rsidRPr="00000000" w14:paraId="000001B2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3">
      <w:pPr>
        <w:widowControl w:val="0"/>
        <w:rPr/>
      </w:pPr>
      <w:r w:rsidDel="00000000" w:rsidR="00000000" w:rsidRPr="00000000">
        <w:rPr>
          <w:rtl w:val="0"/>
        </w:rPr>
        <w:t xml:space="preserve">Actividad válida</w:t>
      </w:r>
    </w:p>
    <w:p w:rsidR="00000000" w:rsidDel="00000000" w:rsidP="00000000" w:rsidRDefault="00000000" w:rsidRPr="00000000" w14:paraId="000001B4">
      <w:pPr>
        <w:widowControl w:val="0"/>
        <w:rPr/>
      </w:pPr>
      <w:r w:rsidDel="00000000" w:rsidR="00000000" w:rsidRPr="00000000">
        <w:rPr>
          <w:rtl w:val="0"/>
        </w:rPr>
        <w:t xml:space="preserve">21. Evolución del Ecosistema</w:t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rPr/>
      </w:pPr>
      <w:r w:rsidDel="00000000" w:rsidR="00000000" w:rsidRPr="00000000">
        <w:rPr>
          <w:rtl w:val="0"/>
        </w:rPr>
        <w:t xml:space="preserve">El modelo operativo deberá soportar futuras integraciones:</w:t>
      </w:r>
    </w:p>
    <w:p w:rsidR="00000000" w:rsidDel="00000000" w:rsidP="00000000" w:rsidRDefault="00000000" w:rsidRPr="00000000" w14:paraId="000001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rPr>
          <w:rtl w:val="0"/>
        </w:rPr>
        <w:t xml:space="preserve">Comercio aliado.</w:t>
      </w:r>
    </w:p>
    <w:p w:rsidR="00000000" w:rsidDel="00000000" w:rsidP="00000000" w:rsidRDefault="00000000" w:rsidRPr="00000000" w14:paraId="000001B9">
      <w:pPr>
        <w:widowControl w:val="0"/>
        <w:rPr/>
      </w:pPr>
      <w:r w:rsidDel="00000000" w:rsidR="00000000" w:rsidRPr="00000000">
        <w:rPr>
          <w:rtl w:val="0"/>
        </w:rPr>
        <w:t xml:space="preserve">Talleres aliados.</w:t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rPr>
          <w:rtl w:val="0"/>
        </w:rPr>
        <w:t xml:space="preserve">Supermercados aliados.</w:t>
      </w:r>
    </w:p>
    <w:p w:rsidR="00000000" w:rsidDel="00000000" w:rsidP="00000000" w:rsidRDefault="00000000" w:rsidRPr="00000000" w14:paraId="000001BB">
      <w:pPr>
        <w:widowControl w:val="0"/>
        <w:rPr/>
      </w:pPr>
      <w:r w:rsidDel="00000000" w:rsidR="00000000" w:rsidRPr="00000000">
        <w:rPr>
          <w:rtl w:val="0"/>
        </w:rPr>
        <w:t xml:space="preserve">Servicios financieros.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  <w:t xml:space="preserve">Sin modificar la arquitectura central.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22. Objetivo Final</w:t>
      </w:r>
    </w:p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  <w:t xml:space="preserve">Construir un ecosistema donde:</w:t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tl w:val="0"/>
        </w:rPr>
        <w:t xml:space="preserve">Clientes obtienen seguridad.</w:t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tl w:val="0"/>
        </w:rPr>
        <w:t xml:space="preserve">Asesores obtienen más servicios.</w:t>
      </w:r>
    </w:p>
    <w:p w:rsidR="00000000" w:rsidDel="00000000" w:rsidP="00000000" w:rsidRDefault="00000000" w:rsidRPr="00000000" w14:paraId="000001C4">
      <w:pPr>
        <w:widowControl w:val="0"/>
        <w:rPr/>
      </w:pPr>
      <w:r w:rsidDel="00000000" w:rsidR="00000000" w:rsidRPr="00000000">
        <w:rPr>
          <w:rtl w:val="0"/>
        </w:rPr>
        <w:t xml:space="preserve">La empresa obtiene sostenibilidad.</w:t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tl w:val="0"/>
        </w:rPr>
        <w:t xml:space="preserve">La red obtiene crecimiento.</w:t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  <w:t xml:space="preserve">El sistema obtiene trazabilidad.</w:t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  <w:t xml:space="preserve">Manteniendo:</w:t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1C9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1CB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C">
      <w:pPr>
        <w:widowControl w:val="0"/>
        <w:rPr/>
      </w:pPr>
      <w:r w:rsidDel="00000000" w:rsidR="00000000" w:rsidRPr="00000000">
        <w:rPr>
          <w:rtl w:val="0"/>
        </w:rPr>
        <w:t xml:space="preserve">Liquidez Real</w:t>
      </w:r>
    </w:p>
    <w:p w:rsidR="00000000" w:rsidDel="00000000" w:rsidP="00000000" w:rsidRDefault="00000000" w:rsidRPr="00000000" w14:paraId="000001CD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E">
      <w:pPr>
        <w:widowControl w:val="0"/>
        <w:rPr/>
      </w:pPr>
      <w:r w:rsidDel="00000000" w:rsidR="00000000" w:rsidRPr="00000000">
        <w:rPr>
          <w:rtl w:val="0"/>
        </w:rPr>
        <w:t xml:space="preserve">Control Antifraude</w:t>
      </w:r>
    </w:p>
    <w:p w:rsidR="00000000" w:rsidDel="00000000" w:rsidP="00000000" w:rsidRDefault="00000000" w:rsidRPr="00000000" w14:paraId="000001CF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0">
      <w:pPr>
        <w:widowControl w:val="0"/>
        <w:rPr/>
      </w:pPr>
      <w:r w:rsidDel="00000000" w:rsidR="00000000" w:rsidRPr="00000000">
        <w:rPr>
          <w:rtl w:val="0"/>
        </w:rPr>
        <w:t xml:space="preserve">Sostenibilidad Financiera</w:t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rPr/>
      </w:pPr>
      <w:r w:rsidDel="00000000" w:rsidR="00000000" w:rsidRPr="00000000">
        <w:rPr>
          <w:rtl w:val="0"/>
        </w:rPr>
        <w:t xml:space="preserve">Las negociaciones expiran automáticamente</w:t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tl w:val="0"/>
        </w:rPr>
        <w:t xml:space="preserve">según el parámetro oficial de negociación.</w:t>
      </w:r>
    </w:p>
    <w:p w:rsidR="00000000" w:rsidDel="00000000" w:rsidP="00000000" w:rsidRDefault="00000000" w:rsidRPr="00000000" w14:paraId="000001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rPr/>
      </w:pPr>
      <w:r w:rsidDel="00000000" w:rsidR="00000000" w:rsidRPr="00000000">
        <w:rPr>
          <w:rtl w:val="0"/>
        </w:rPr>
        <w:t xml:space="preserve">Fin del Documento 08 — Modelo Operativo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