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14 — Índice de Maduración Financiera (IMF)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El Índice de Maduración Financiera (IMF) es el mecanismo encargado de administrar la liberación progresiva de beneficios económicos dentro del ecosistema Tu Mobil Amigo.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Su propósito es: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Incentivar la permanencia.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Incentivar el uso real de la plataforma.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Reducir fraude financiero.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Reducir lavado de activos.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Reducir cuentas artificiales.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Proteger la liquidez del ecosistema.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Fortalecer la economía interna.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2. Principio Fundamental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Todo beneficio económico generado dentro del ecosistema deberá atravesar un proceso de maduración antes de convertirse en saldo liberado.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3. Beneficios Sujetos a IMF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Participan en IMF: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Cashback Ganado.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Comisiones Ganadas.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Bonificaciones futuras aprobadas.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Asesores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Participan en IMF: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Comisiones Ganadas.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Incentivos QR Ganados.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Bonificaciones futuras aprobadas.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Exclusiones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No participan en IMF: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Bolsa Operativa del Asesor.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Saldos operativos.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Pagos directos de servicios.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4. Estructura de Saldos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Recursos liberados y utilizables.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Cashback Ganado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Beneficios acumulados pendientes de maduración.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Cashback Liberado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Beneficios disponibles para retiro o consumo.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Comisiones Ganadas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Comisiones multinivel pendientes de maduración.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Comisiones Liberadas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Comisiones disponibles.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Total Histórico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Registro acumulado de toda la actividad financiera.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Bolsa Operativa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Utilizada exclusivamente para: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Descuentos de comisiones.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Operación diaria.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Bolsa de Beneficios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Comisiones Ganadas.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Comisiones Liberadas.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Incentivos QR Ganados.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Incentivos QR Liberados.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5. Principio de Separación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La Bolsa Operativa y la Bolsa de Beneficios serán completamente independientes.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No podrán mezclarse.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No podrán transferirse recursos entre ellas.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6. Variables de Liberación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La liberación financiera dependerá de: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Factor</w:t>
        <w:tab/>
        <w:tab/>
        <w:tab/>
        <w:tab/>
        <w:t xml:space="preserve">Participación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Antigüedad</w:t>
        <w:tab/>
        <w:tab/>
        <w:tab/>
        <w:t xml:space="preserve">30%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Trust Score</w:t>
        <w:tab/>
        <w:tab/>
        <w:tab/>
        <w:t xml:space="preserve">35%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Actividad Real (IPA)</w:t>
        <w:tab/>
        <w:tab/>
        <w:t xml:space="preserve">25%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Participación de Red (IPR)</w:t>
        <w:tab/>
        <w:t xml:space="preserve">10%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Total: </w:t>
        <w:tab/>
        <w:tab/>
        <w:tab/>
        <w:tab/>
        <w:t xml:space="preserve">100%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7. Antigüedad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La permanencia máxima considerada será: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12 meses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Escala: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Meses</w:t>
        <w:tab/>
        <w:t xml:space="preserve">Puntaje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0-1</w:t>
        <w:tab/>
        <w:t xml:space="preserve">0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2-3</w:t>
        <w:tab/>
        <w:t xml:space="preserve">25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4-6</w:t>
        <w:tab/>
        <w:t xml:space="preserve">50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7-9</w:t>
        <w:tab/>
        <w:t xml:space="preserve">75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10-12+</w:t>
        <w:tab/>
        <w:t xml:space="preserve">100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8. Trust Score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Se utilizará el puntaje vigente del usuario.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Escala:         0 - 100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9. Actividad Real (IPA)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Se medirá mediante el Índice de Participación y Actividad.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Categoría</w:t>
        <w:tab/>
        <w:t xml:space="preserve">Servicios Mes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Explorador</w:t>
        <w:tab/>
        <w:t xml:space="preserve">0 - 9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Viajero</w:t>
        <w:tab/>
        <w:tab/>
        <w:t xml:space="preserve">10 - 19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Experto</w:t>
        <w:tab/>
        <w:tab/>
        <w:t xml:space="preserve">20 - 39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Leyenda</w:t>
        <w:tab/>
        <w:tab/>
        <w:t xml:space="preserve">40+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Asesores </w:t>
        <w:tab/>
        <w:t xml:space="preserve">Moto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Categoría</w:t>
        <w:tab/>
        <w:t xml:space="preserve">Servicios Mes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Explorador</w:t>
        <w:tab/>
        <w:t xml:space="preserve">0 - 149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Viajero</w:t>
        <w:tab/>
        <w:tab/>
        <w:t xml:space="preserve">150 - 199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Experto</w:t>
        <w:tab/>
        <w:tab/>
        <w:t xml:space="preserve">200 - 249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Leyenda</w:t>
        <w:tab/>
        <w:tab/>
        <w:t xml:space="preserve">250+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Asesores </w:t>
        <w:tab/>
        <w:t xml:space="preserve">Vehículo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Categoría</w:t>
        <w:tab/>
        <w:t xml:space="preserve">Servicios Mes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Explorador</w:t>
        <w:tab/>
        <w:t xml:space="preserve">0 - 59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Viajero</w:t>
        <w:tab/>
        <w:tab/>
        <w:t xml:space="preserve">60 - 79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Experto</w:t>
        <w:tab/>
        <w:tab/>
        <w:t xml:space="preserve">80 - 99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Leyenda</w:t>
        <w:tab/>
        <w:tab/>
        <w:t xml:space="preserve">100+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10. Participación de Red (IPR)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Referidos activos.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Permanencia.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Actividad real.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Calidad de la red.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No evalúa únicamente cantidad.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11. Fórmula Conceptual IMF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IMF = (Antigüedad × 30%) + (Trust Score × 35%) + (IPA × 25%) + (IPR × 10%)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Resultado: 0 - 100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12. Niveles de Maduración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Nivel</w:t>
        <w:tab/>
        <w:tab/>
        <w:t xml:space="preserve">IMF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Inicial</w:t>
        <w:tab/>
        <w:tab/>
        <w:t xml:space="preserve">0 - 25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Intermedio</w:t>
        <w:tab/>
        <w:t xml:space="preserve">26 - 50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Avanzado</w:t>
        <w:tab/>
        <w:t xml:space="preserve">51 - 75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Consolidado</w:t>
        <w:tab/>
        <w:t xml:space="preserve">76 - 100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13. Porcentaje Máximo de Liberación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Nivel</w:t>
        <w:tab/>
        <w:t xml:space="preserve">Liberación Máxima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Inicial</w:t>
        <w:tab/>
        <w:tab/>
        <w:t xml:space="preserve">10%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Intermedio</w:t>
        <w:tab/>
        <w:t xml:space="preserve">35%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Avanzado</w:t>
        <w:tab/>
        <w:t xml:space="preserve">70%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Consolidado</w:t>
        <w:tab/>
        <w:t xml:space="preserve">100%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14. Regla de Liberación Continua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La liberación será progresiva.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Nunca ocurrirá una liberación total automática únicamente por cumplir tiempo.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15. Restricción Antifraude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La antigüedad por sí sola no genera liberación.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Siempre deberá existir: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Actividad real.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Trust Score suficiente.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Participación válida.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16. Congelamiento Preventivo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El sistema podrá congelar liberaciones cuando existan: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Alertas de fraude.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Investigación interna.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Inconsistencias financieras.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Riesgos AML.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17. Incentivos QR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Los incentivos provenientes de servicios QR: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Participan en IMF.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Se acumulan como Incentivos QR Ganados.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Se liberan progresivamente.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18. Cashback de Servicios Programados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Los beneficios adicionales obtenidos por programación de servicios: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Participan en IMF.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Se consideran Cashback Ganado.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Siguen exactamente las mismas reglas de liberación.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19. Consumo Interno Futuro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El sistema podrá permitir en versiones futuras: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Uso de beneficios liberados.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Consumo en comercios aliados.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Uso en ecosistemas propios.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Siempre sujeto a controles financieros y antifraude.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20. Objetivo Estratégico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El IMF no busca retrasar pagos.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Busca garantizar que los beneficios económicos estén asociados a usuarios reales, actividad real y crecimiento sostenible.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21. Principio Rector Final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Todo beneficio económico dentro de Tu Mobil Amigo deberá madurar mediante confianza, actividad, permanencia y participación antes de convertirse en un recurso completamente disponible.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5sm6yhua0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Relación entre IMF y Liquidaciones</w:t>
      </w:r>
    </w:p>
    <w:p w:rsidR="00000000" w:rsidDel="00000000" w:rsidP="00000000" w:rsidRDefault="00000000" w:rsidRPr="00000000" w14:paraId="000000C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liberación de recursos por cumplimiento del IMF no implica pago inmediato.</w:t>
      </w:r>
    </w:p>
    <w:p w:rsidR="00000000" w:rsidDel="00000000" w:rsidP="00000000" w:rsidRDefault="00000000" w:rsidRPr="00000000" w14:paraId="000000C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 valor liberado ingresará automáticamente al proceso de liquidación mensual.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onqgwdl2t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Flujo Financiero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IMF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Liberación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Pendiente Liquidación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Liquidación Mensual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Finalizado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Versión</w:t>
        <w:tab/>
        <w:t xml:space="preserve">Cambio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1.0</w:t>
        <w:tab/>
        <w:t xml:space="preserve">Creación inicial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Fin del Documento 14 — Índice de Maduración Financiera (IMF)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