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5F"/>
          <w:sz w:val="34"/>
          <w:szCs w:val="34"/>
        </w:rPr>
        <w:t xml:space="preserve">SYNOPTIC CFD</w:t>
      </w:r>
    </w:p>
    <w:p>
      <w:pPr>
        <w:jc w:val="center"/>
      </w:pPr>
      <w:r>
        <w:rPr>
          <w:color w:val="555555"/>
          <w:sz w:val="20"/>
          <w:szCs w:val="20"/>
        </w:rPr>
        <w:t xml:space="preserve">Tunnel Ventilation Engineering</w:t>
      </w:r>
    </w:p>
    <w:p>
      <w:pPr>
        <w:spacing w:before="1200"/>
        <w:jc w:val="center"/>
      </w:pPr>
      <w:r>
        <w:rPr>
          <w:b/>
          <w:bCs/>
          <w:color w:val="2E7D8C"/>
          <w:sz w:val="48"/>
          <w:szCs w:val="48"/>
        </w:rPr>
        <w:t xml:space="preserve">DESIGN BASIS REPORT</w:t>
      </w:r>
    </w:p>
    <w:p>
      <w:pPr>
        <w:spacing w:before="120"/>
        <w:jc w:val="center"/>
      </w:pPr>
      <w:r>
        <w:rPr>
          <w:sz w:val="26"/>
          <w:szCs w:val="26"/>
        </w:rPr>
        <w:t xml:space="preserve">Emergency Tunnel Ventilation System (TVS)</w:t>
      </w:r>
    </w:p>
    <w:p>
      <w:pPr>
        <w:jc w:val="center"/>
      </w:pPr>
      <w:r>
        <w:rPr>
          <w:i/>
          <w:iCs/>
          <w:color w:val="555555"/>
          <w:sz w:val="22"/>
          <w:szCs w:val="22"/>
        </w:rPr>
        <w:t xml:space="preserve">Longitudinal Ventilation — Jet Fan System</w:t>
      </w:r>
    </w:p>
    <w:p>
      <w:pPr>
        <w:spacing w:before="200"/>
        <w:jc w:val="center"/>
      </w:pPr>
      <w:r>
        <w:rPr>
          <w:sz w:val="22"/>
          <w:szCs w:val="22"/>
        </w:rPr>
        <w:t xml:space="preserve">Memorial Tunnel Reference Project</w:t>
      </w:r>
    </w:p>
    <w:p>
      <w:pPr>
        <w:spacing w:before="1400"/>
        <w:jc w:val="center"/>
      </w:pPr>
      <w:r>
        <w:rPr>
          <w:color w:val="555555"/>
          <w:sz w:val="18"/>
          <w:szCs w:val="18"/>
        </w:rPr>
        <w:t xml:space="preserve">SES v4.1 One-Dimensional Network Analysis</w:t>
      </w:r>
    </w:p>
    <w:p>
      <w:pPr>
        <w:jc w:val="center"/>
      </w:pPr>
      <w:r>
        <w:rPr>
          <w:color w:val="555555"/>
          <w:sz w:val="18"/>
          <w:szCs w:val="18"/>
        </w:rPr>
        <w:t xml:space="preserve">Document No. STN-MT-DBR-001   |   Revision A   |   Status: For Review</w:t>
      </w:r>
    </w:p>
    <w:p>
      <w:r>
        <w:br w:type="page"/>
      </w:r>
    </w:p>
    <w:p>
      <w:pPr>
        <w:pStyle w:val="Heading1"/>
        <w:spacing w:after="120" w:before="24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Field</w:t>
            </w:r>
          </w:p>
        </w:tc>
        <w:tc>
          <w:tcPr>
            <w:tcW w:type="dxa" w:w="6600"/>
            <w:shd w:fill="1F4E5F" w:color="auto" w:val="clear"/>
            <w:tcMar>
              <w:top w:type="dxa" w:w="40"/>
              <w:left w:type="dxa" w:w="90"/>
              <w:bottom w:type="dxa" w:w="40"/>
              <w:right w:type="dxa" w:w="90"/>
            </w:tcMar>
          </w:tcPr>
          <w:p>
            <w:pPr>
              <w:spacing w:after="0" w:line="240"/>
            </w:pPr>
            <w:r>
              <w:rPr>
                <w:b/>
                <w:bCs/>
                <w:color w:val="FFFFFF"/>
                <w:sz w:val="18"/>
                <w:szCs w:val="18"/>
              </w:rPr>
              <w:t xml:space="preserve">Detail</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Document title</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Design Basis Report — Emergency Tunnel Ventilation System</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Document number</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STN-MT-DBR-001</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Revision</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A — For Review</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Project</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Memorial Tunnel TVS Validation &amp; Emergency Ventilation Design</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Prepared by</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Synoptic CFD</w:t>
            </w:r>
          </w:p>
        </w:tc>
      </w:tr>
      <w:tr>
        <w:trPr>
          <w:tblHeader w:val="false"/>
        </w:trPr>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Analysis tool</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Subway Environmental Simulation (SES) Version 4.1</w:t>
            </w:r>
          </w:p>
        </w:tc>
      </w:tr>
      <w:tr>
        <w:trPr>
          <w:tblHeader w:val="false"/>
        </w:trPr>
        <w:tc>
          <w:tcPr>
            <w:tcW w:type="dxa" w:w="3000"/>
            <w:tcMar>
              <w:top w:type="dxa" w:w="40"/>
              <w:left w:type="dxa" w:w="90"/>
              <w:bottom w:type="dxa" w:w="40"/>
              <w:right w:type="dxa" w:w="90"/>
            </w:tcMar>
          </w:tcPr>
          <w:p>
            <w:pPr>
              <w:spacing w:after="0" w:line="240"/>
            </w:pPr>
            <w:r>
              <w:rPr>
                <w:b w:val="false"/>
                <w:bCs w:val="false"/>
                <w:color w:val="000000"/>
                <w:sz w:val="18"/>
                <w:szCs w:val="18"/>
              </w:rPr>
              <w:t xml:space="preserve">Reference dataset</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Memorial Tunnel Fire Ventilation Test Program (MTFVTP), 1993–1995</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900"/>
        <w:gridCol w:w="1400"/>
      </w:tblGrid>
      <w:tr>
        <w:trPr>
          <w:tblHeader/>
        </w:trPr>
        <w:tc>
          <w:tcPr>
            <w:tcW w:type="dxa" w:w="900"/>
            <w:shd w:fill="1F4E5F" w:color="auto" w:val="clear"/>
            <w:tcMar>
              <w:top w:type="dxa" w:w="40"/>
              <w:left w:type="dxa" w:w="90"/>
              <w:bottom w:type="dxa" w:w="40"/>
              <w:right w:type="dxa" w:w="90"/>
            </w:tcMar>
          </w:tcPr>
          <w:p>
            <w:pPr>
              <w:spacing w:after="0" w:line="240"/>
            </w:pPr>
            <w:r>
              <w:rPr>
                <w:b/>
                <w:bCs/>
                <w:color w:val="FFFFFF"/>
                <w:sz w:val="18"/>
                <w:szCs w:val="18"/>
              </w:rPr>
              <w:t xml:space="preserve">Rev</w:t>
            </w:r>
          </w:p>
        </w:tc>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Date</w:t>
            </w:r>
          </w:p>
        </w:tc>
        <w:tc>
          <w:tcPr>
            <w:tcW w:type="dxa" w:w="4900"/>
            <w:shd w:fill="1F4E5F" w:color="auto" w:val="clear"/>
            <w:tcMar>
              <w:top w:type="dxa" w:w="40"/>
              <w:left w:type="dxa" w:w="90"/>
              <w:bottom w:type="dxa" w:w="40"/>
              <w:right w:type="dxa" w:w="90"/>
            </w:tcMar>
          </w:tcPr>
          <w:p>
            <w:pPr>
              <w:spacing w:after="0" w:line="240"/>
            </w:pPr>
            <w:r>
              <w:rPr>
                <w:b/>
                <w:bCs/>
                <w:color w:val="FFFFFF"/>
                <w:sz w:val="18"/>
                <w:szCs w:val="18"/>
              </w:rPr>
              <w:t xml:space="preserve">Description</w:t>
            </w:r>
          </w:p>
        </w:tc>
        <w:tc>
          <w:tcPr>
            <w:tcW w:type="dxa" w:w="1400"/>
            <w:shd w:fill="1F4E5F" w:color="auto" w:val="clear"/>
            <w:tcMar>
              <w:top w:type="dxa" w:w="40"/>
              <w:left w:type="dxa" w:w="90"/>
              <w:bottom w:type="dxa" w:w="40"/>
              <w:right w:type="dxa" w:w="90"/>
            </w:tcMar>
          </w:tcPr>
          <w:p>
            <w:pPr>
              <w:spacing w:after="0" w:line="240"/>
            </w:pPr>
            <w:r>
              <w:rPr>
                <w:b/>
                <w:bCs/>
                <w:color w:val="FFFFFF"/>
                <w:sz w:val="18"/>
                <w:szCs w:val="18"/>
              </w:rPr>
              <w:t xml:space="preserve">By</w:t>
            </w:r>
          </w:p>
        </w:tc>
      </w:tr>
      <w:tr>
        <w:trPr>
          <w:tblHeader w:val="false"/>
        </w:trPr>
        <w:tc>
          <w:tcPr>
            <w:tcW w:type="dxa" w:w="900"/>
            <w:tcMar>
              <w:top w:type="dxa" w:w="40"/>
              <w:left w:type="dxa" w:w="90"/>
              <w:bottom w:type="dxa" w:w="40"/>
              <w:right w:type="dxa" w:w="90"/>
            </w:tcMar>
          </w:tcPr>
          <w:p>
            <w:pPr>
              <w:spacing w:after="0" w:line="240"/>
            </w:pPr>
            <w:r>
              <w:rPr>
                <w:b w:val="false"/>
                <w:bCs w:val="false"/>
                <w:color w:val="000000"/>
                <w:sz w:val="18"/>
                <w:szCs w:val="18"/>
              </w:rPr>
              <w:t xml:space="preserve">A</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For Review</w:t>
            </w:r>
          </w:p>
        </w:tc>
        <w:tc>
          <w:tcPr>
            <w:tcW w:type="dxa" w:w="4900"/>
            <w:tcMar>
              <w:top w:type="dxa" w:w="40"/>
              <w:left w:type="dxa" w:w="90"/>
              <w:bottom w:type="dxa" w:w="40"/>
              <w:right w:type="dxa" w:w="90"/>
            </w:tcMar>
          </w:tcPr>
          <w:p>
            <w:pPr>
              <w:spacing w:after="0" w:line="240"/>
            </w:pPr>
            <w:r>
              <w:rPr>
                <w:b w:val="false"/>
                <w:bCs w:val="false"/>
                <w:color w:val="000000"/>
                <w:sz w:val="18"/>
                <w:szCs w:val="18"/>
              </w:rPr>
              <w:t xml:space="preserve">Initial issue — design basis established</w:t>
            </w:r>
          </w:p>
        </w:tc>
        <w:tc>
          <w:tcPr>
            <w:tcW w:type="dxa" w:w="1400"/>
            <w:tcMar>
              <w:top w:type="dxa" w:w="40"/>
              <w:left w:type="dxa" w:w="90"/>
              <w:bottom w:type="dxa" w:w="40"/>
              <w:right w:type="dxa" w:w="90"/>
            </w:tcMar>
          </w:tcPr>
          <w:p>
            <w:pPr>
              <w:spacing w:after="0" w:line="240"/>
            </w:pPr>
            <w:r>
              <w:rPr>
                <w:b w:val="false"/>
                <w:bCs w:val="false"/>
                <w:color w:val="000000"/>
                <w:sz w:val="18"/>
                <w:szCs w:val="18"/>
              </w:rPr>
              <w:t xml:space="preserve">Synoptic CFD</w:t>
            </w:r>
          </w:p>
        </w:tc>
      </w:tr>
    </w:tbl>
    <w:p>
      <w:pPr>
        <w:spacing w:after="60"/>
      </w:pPr>
    </w:p>
    <w:p>
      <w:r>
        <w:rPr>
          <w:i/>
          <w:iCs/>
          <w:color w:val="555555"/>
          <w:sz w:val="18"/>
          <w:szCs w:val="18"/>
        </w:rPr>
        <w:t xml:space="preserve">This report defines the design basis only. Simulation results, validation, and system recommendations are issued under separate deliverables (see §9).</w:t>
      </w:r>
    </w:p>
    <w:p>
      <w:r>
        <w:br w:type="page"/>
      </w:r>
    </w:p>
    <w:p>
      <w:pPr>
        <w:pStyle w:val="Heading1"/>
        <w:spacing w:after="120" w:before="240"/>
      </w:pPr>
      <w:r>
        <w:t xml:space="preserve">Contents</w:t>
      </w:r>
    </w:p>
    <w:p>
      <w:pPr>
        <w:tabs>
          <w:tab w:val="right" w:leader="dot" w:pos="9600"/>
        </w:tabs>
        <w:ind w:left="0"/>
        <w:spacing w:after="80" w:line="264" w:lineRule="auto"/>
      </w:pPr>
      <w:r>
        <w:rPr>
          <w:sz w:val="21"/>
        </w:rPr>
        <w:t xml:space="preserve">Document Control</w:t>
      </w:r>
      <w:r>
        <w:rPr>
          <w:sz w:val="21"/>
        </w:rPr>
        <w:tab/>
        <w:t>2</w:t>
      </w:r>
    </w:p>
    <w:p>
      <w:pPr>
        <w:tabs>
          <w:tab w:val="right" w:leader="dot" w:pos="9600"/>
        </w:tabs>
        <w:ind w:left="0"/>
        <w:spacing w:after="80" w:line="264" w:lineRule="auto"/>
      </w:pPr>
      <w:r>
        <w:rPr>
          <w:sz w:val="21"/>
        </w:rPr>
        <w:t xml:space="preserve">1  Introduction &amp; Purpose</w:t>
      </w:r>
      <w:r>
        <w:rPr>
          <w:sz w:val="21"/>
        </w:rPr>
        <w:tab/>
        <w:t>4</w:t>
      </w:r>
    </w:p>
    <w:p>
      <w:pPr>
        <w:tabs>
          <w:tab w:val="right" w:leader="dot" w:pos="9600"/>
        </w:tabs>
        <w:ind w:left="360"/>
        <w:spacing w:after="80" w:line="264" w:lineRule="auto"/>
      </w:pPr>
      <w:r>
        <w:rPr>
          <w:sz w:val="20"/>
        </w:rPr>
        <w:t xml:space="preserve">1.1  Scope of the Project</w:t>
      </w:r>
      <w:r>
        <w:rPr>
          <w:sz w:val="20"/>
        </w:rPr>
        <w:tab/>
        <w:t>4</w:t>
      </w:r>
    </w:p>
    <w:p>
      <w:pPr>
        <w:tabs>
          <w:tab w:val="right" w:leader="dot" w:pos="9600"/>
        </w:tabs>
        <w:ind w:left="360"/>
        <w:spacing w:after="80" w:line="264" w:lineRule="auto"/>
      </w:pPr>
      <w:r>
        <w:rPr>
          <w:sz w:val="20"/>
        </w:rPr>
        <w:t xml:space="preserve">1.2  Deliverables Register</w:t>
      </w:r>
      <w:r>
        <w:rPr>
          <w:sz w:val="20"/>
        </w:rPr>
        <w:tab/>
        <w:t>4</w:t>
      </w:r>
    </w:p>
    <w:p>
      <w:pPr>
        <w:tabs>
          <w:tab w:val="right" w:leader="dot" w:pos="9600"/>
        </w:tabs>
        <w:ind w:left="0"/>
        <w:spacing w:after="80" w:line="264" w:lineRule="auto"/>
      </w:pPr>
      <w:r>
        <w:rPr>
          <w:sz w:val="21"/>
        </w:rPr>
        <w:t xml:space="preserve">2  Codes, Standards &amp; References</w:t>
      </w:r>
      <w:r>
        <w:rPr>
          <w:sz w:val="21"/>
        </w:rPr>
        <w:tab/>
        <w:t>4</w:t>
      </w:r>
    </w:p>
    <w:p>
      <w:pPr>
        <w:tabs>
          <w:tab w:val="right" w:leader="dot" w:pos="9600"/>
        </w:tabs>
        <w:ind w:left="0"/>
        <w:spacing w:after="80" w:line="264" w:lineRule="auto"/>
      </w:pPr>
      <w:r>
        <w:rPr>
          <w:sz w:val="21"/>
        </w:rPr>
        <w:t xml:space="preserve">3  Tunnel Geometry &amp; Physical Data</w:t>
      </w:r>
      <w:r>
        <w:rPr>
          <w:sz w:val="21"/>
        </w:rPr>
        <w:tab/>
        <w:t>5</w:t>
      </w:r>
    </w:p>
    <w:p>
      <w:pPr>
        <w:tabs>
          <w:tab w:val="right" w:leader="dot" w:pos="9600"/>
        </w:tabs>
        <w:ind w:left="360"/>
        <w:spacing w:after="80" w:line="264" w:lineRule="auto"/>
      </w:pPr>
      <w:r>
        <w:rPr>
          <w:sz w:val="20"/>
        </w:rPr>
        <w:t xml:space="preserve">3.1  SES Spatial Discretisation</w:t>
      </w:r>
      <w:r>
        <w:rPr>
          <w:sz w:val="20"/>
        </w:rPr>
        <w:tab/>
        <w:t>5</w:t>
      </w:r>
    </w:p>
    <w:p>
      <w:pPr>
        <w:tabs>
          <w:tab w:val="right" w:leader="dot" w:pos="9600"/>
        </w:tabs>
        <w:ind w:left="0"/>
        <w:spacing w:after="80" w:line="264" w:lineRule="auto"/>
      </w:pPr>
      <w:r>
        <w:rPr>
          <w:sz w:val="21"/>
        </w:rPr>
        <w:t xml:space="preserve">4  Ventilation System Configuration</w:t>
      </w:r>
      <w:r>
        <w:rPr>
          <w:sz w:val="21"/>
        </w:rPr>
        <w:tab/>
        <w:t>5</w:t>
      </w:r>
    </w:p>
    <w:p>
      <w:pPr>
        <w:tabs>
          <w:tab w:val="right" w:leader="dot" w:pos="9600"/>
        </w:tabs>
        <w:ind w:left="360"/>
        <w:spacing w:after="80" w:line="264" w:lineRule="auto"/>
      </w:pPr>
      <w:r>
        <w:rPr>
          <w:sz w:val="20"/>
        </w:rPr>
        <w:t xml:space="preserve">4.1  Jet Fan Data</w:t>
      </w:r>
      <w:r>
        <w:rPr>
          <w:sz w:val="20"/>
        </w:rPr>
        <w:tab/>
        <w:t>5</w:t>
      </w:r>
    </w:p>
    <w:p>
      <w:pPr>
        <w:tabs>
          <w:tab w:val="right" w:leader="dot" w:pos="9600"/>
        </w:tabs>
        <w:ind w:left="360"/>
        <w:spacing w:after="80" w:line="264" w:lineRule="auto"/>
      </w:pPr>
      <w:r>
        <w:rPr>
          <w:sz w:val="20"/>
        </w:rPr>
        <w:t xml:space="preserve">4.2  Tunnel Aerodynamic Losses</w:t>
      </w:r>
      <w:r>
        <w:rPr>
          <w:sz w:val="20"/>
        </w:rPr>
        <w:tab/>
        <w:t>6</w:t>
      </w:r>
    </w:p>
    <w:p>
      <w:pPr>
        <w:tabs>
          <w:tab w:val="right" w:leader="dot" w:pos="9600"/>
        </w:tabs>
        <w:ind w:left="0"/>
        <w:spacing w:after="80" w:line="264" w:lineRule="auto"/>
      </w:pPr>
      <w:r>
        <w:rPr>
          <w:sz w:val="21"/>
        </w:rPr>
        <w:t xml:space="preserve">5  Design Criteria</w:t>
      </w:r>
      <w:r>
        <w:rPr>
          <w:sz w:val="21"/>
        </w:rPr>
        <w:tab/>
        <w:t>6</w:t>
      </w:r>
    </w:p>
    <w:p>
      <w:pPr>
        <w:tabs>
          <w:tab w:val="right" w:leader="dot" w:pos="9600"/>
        </w:tabs>
        <w:ind w:left="360"/>
        <w:spacing w:after="80" w:line="264" w:lineRule="auto"/>
      </w:pPr>
      <w:r>
        <w:rPr>
          <w:sz w:val="20"/>
        </w:rPr>
        <w:t xml:space="preserve">5.1  Critical Velocity (smoke control)</w:t>
      </w:r>
      <w:r>
        <w:rPr>
          <w:sz w:val="20"/>
        </w:rPr>
        <w:tab/>
        <w:t>6</w:t>
      </w:r>
    </w:p>
    <w:p>
      <w:pPr>
        <w:tabs>
          <w:tab w:val="right" w:leader="dot" w:pos="9600"/>
        </w:tabs>
        <w:ind w:left="360"/>
        <w:spacing w:after="80" w:line="264" w:lineRule="auto"/>
      </w:pPr>
      <w:r>
        <w:rPr>
          <w:sz w:val="20"/>
        </w:rPr>
        <w:t xml:space="preserve">5.2  Tenability</w:t>
      </w:r>
      <w:r>
        <w:rPr>
          <w:sz w:val="20"/>
        </w:rPr>
        <w:tab/>
        <w:t>6</w:t>
      </w:r>
    </w:p>
    <w:p>
      <w:pPr>
        <w:tabs>
          <w:tab w:val="right" w:leader="dot" w:pos="9600"/>
        </w:tabs>
        <w:ind w:left="0"/>
        <w:spacing w:after="80" w:line="264" w:lineRule="auto"/>
      </w:pPr>
      <w:r>
        <w:rPr>
          <w:sz w:val="21"/>
        </w:rPr>
        <w:t xml:space="preserve">6  Design Fire Scenarios</w:t>
      </w:r>
      <w:r>
        <w:rPr>
          <w:sz w:val="21"/>
        </w:rPr>
        <w:tab/>
        <w:t>6</w:t>
      </w:r>
    </w:p>
    <w:p>
      <w:pPr>
        <w:tabs>
          <w:tab w:val="right" w:leader="dot" w:pos="9600"/>
        </w:tabs>
        <w:ind w:left="360"/>
        <w:spacing w:after="80" w:line="264" w:lineRule="auto"/>
      </w:pPr>
      <w:r>
        <w:rPr>
          <w:sz w:val="20"/>
        </w:rPr>
        <w:t xml:space="preserve">6.1  Fire Modelling Approach in SES</w:t>
      </w:r>
      <w:r>
        <w:rPr>
          <w:sz w:val="20"/>
        </w:rPr>
        <w:tab/>
        <w:t>7</w:t>
      </w:r>
    </w:p>
    <w:p>
      <w:pPr>
        <w:tabs>
          <w:tab w:val="right" w:leader="dot" w:pos="9600"/>
        </w:tabs>
        <w:ind w:left="0"/>
        <w:spacing w:after="80" w:line="264" w:lineRule="auto"/>
      </w:pPr>
      <w:r>
        <w:rPr>
          <w:sz w:val="21"/>
        </w:rPr>
        <w:t xml:space="preserve">7  Ambient Conditions, Boundary Conditions &amp; Heat Sink</w:t>
      </w:r>
      <w:r>
        <w:rPr>
          <w:sz w:val="21"/>
        </w:rPr>
        <w:tab/>
        <w:t>7</w:t>
      </w:r>
    </w:p>
    <w:p>
      <w:pPr>
        <w:tabs>
          <w:tab w:val="right" w:leader="dot" w:pos="9600"/>
        </w:tabs>
        <w:ind w:left="360"/>
        <w:spacing w:after="80" w:line="264" w:lineRule="auto"/>
      </w:pPr>
      <w:r>
        <w:rPr>
          <w:sz w:val="20"/>
        </w:rPr>
        <w:t xml:space="preserve">7.1  Ambient Conditions</w:t>
      </w:r>
      <w:r>
        <w:rPr>
          <w:sz w:val="20"/>
        </w:rPr>
        <w:tab/>
        <w:t>7</w:t>
      </w:r>
    </w:p>
    <w:p>
      <w:pPr>
        <w:tabs>
          <w:tab w:val="right" w:leader="dot" w:pos="9600"/>
        </w:tabs>
        <w:ind w:left="360"/>
        <w:spacing w:after="80" w:line="264" w:lineRule="auto"/>
      </w:pPr>
      <w:r>
        <w:rPr>
          <w:sz w:val="20"/>
        </w:rPr>
        <w:t xml:space="preserve">7.2  Portal / Wind Boundary Conditions</w:t>
      </w:r>
      <w:r>
        <w:rPr>
          <w:sz w:val="20"/>
        </w:rPr>
        <w:tab/>
        <w:t>7</w:t>
      </w:r>
    </w:p>
    <w:p>
      <w:pPr>
        <w:tabs>
          <w:tab w:val="right" w:leader="dot" w:pos="9600"/>
        </w:tabs>
        <w:ind w:left="360"/>
        <w:spacing w:after="80" w:line="264" w:lineRule="auto"/>
      </w:pPr>
      <w:r>
        <w:rPr>
          <w:sz w:val="20"/>
        </w:rPr>
        <w:t xml:space="preserve">7.3  Cold-Flow Characterisation</w:t>
      </w:r>
      <w:r>
        <w:rPr>
          <w:sz w:val="20"/>
        </w:rPr>
        <w:tab/>
        <w:t>7</w:t>
      </w:r>
    </w:p>
    <w:p>
      <w:pPr>
        <w:tabs>
          <w:tab w:val="right" w:leader="dot" w:pos="9600"/>
        </w:tabs>
        <w:ind w:left="360"/>
        <w:spacing w:after="80" w:line="264" w:lineRule="auto"/>
      </w:pPr>
      <w:r>
        <w:rPr>
          <w:sz w:val="20"/>
        </w:rPr>
        <w:t xml:space="preserve">7.4  Long-Term Heat Sink Analysis (Deliverable D5)</w:t>
      </w:r>
      <w:r>
        <w:rPr>
          <w:sz w:val="20"/>
        </w:rPr>
        <w:tab/>
        <w:t>7</w:t>
      </w:r>
    </w:p>
    <w:p>
      <w:pPr>
        <w:tabs>
          <w:tab w:val="right" w:leader="dot" w:pos="9600"/>
        </w:tabs>
        <w:ind w:left="0"/>
        <w:spacing w:after="80" w:line="264" w:lineRule="auto"/>
      </w:pPr>
      <w:r>
        <w:rPr>
          <w:sz w:val="21"/>
        </w:rPr>
        <w:t xml:space="preserve">8  Simulation Matrix (Deliverable D4)</w:t>
      </w:r>
      <w:r>
        <w:rPr>
          <w:sz w:val="21"/>
        </w:rPr>
        <w:tab/>
        <w:t>8</w:t>
      </w:r>
    </w:p>
    <w:p>
      <w:pPr>
        <w:tabs>
          <w:tab w:val="right" w:leader="dot" w:pos="9600"/>
        </w:tabs>
        <w:ind w:left="0"/>
        <w:spacing w:after="80" w:line="264" w:lineRule="auto"/>
      </w:pPr>
      <w:r>
        <w:rPr>
          <w:sz w:val="21"/>
        </w:rPr>
        <w:t xml:space="preserve">9  Analysis Outputs &amp; Post-Processing</w:t>
      </w:r>
      <w:r>
        <w:rPr>
          <w:sz w:val="21"/>
        </w:rPr>
        <w:tab/>
        <w:t>8</w:t>
      </w:r>
    </w:p>
    <w:p>
      <w:pPr>
        <w:tabs>
          <w:tab w:val="right" w:leader="dot" w:pos="9600"/>
        </w:tabs>
        <w:ind w:left="0"/>
        <w:spacing w:after="80" w:line="264" w:lineRule="auto"/>
      </w:pPr>
      <w:r>
        <w:rPr>
          <w:sz w:val="21"/>
        </w:rPr>
        <w:t xml:space="preserve">10  Key Assumptions &amp; Limitations</w:t>
      </w:r>
      <w:r>
        <w:rPr>
          <w:sz w:val="21"/>
        </w:rPr>
        <w:tab/>
        <w:t>8</w:t>
      </w:r>
    </w:p>
    <w:p>
      <w:r>
        <w:br w:type="page"/>
      </w:r>
    </w:p>
    <w:p>
      <w:pPr>
        <w:pStyle w:val="Heading1"/>
        <w:spacing w:after="120" w:before="240"/>
      </w:pPr>
      <w:r>
        <w:t xml:space="preserve">1  Introduction &amp; Purpose</w:t>
      </w:r>
    </w:p>
    <w:p>
      <w:pPr>
        <w:spacing w:after="120" w:line="276"/>
        <w:jc w:val="both"/>
      </w:pPr>
      <w:r>
        <w:t xml:space="preserve">This Design Basis Report (DBR) establishes the engineering basis for the analysis of the emergency tunnel ventilation system (TVS) of the Memorial Tunnel using the Subway Environmental Simulation (SES) Version 4.1 one-dimensional network model. It defines the tunnel geometry, ventilation configuration, design fire scenarios, ambient conditions, governing criteria, and modelling assumptions that all downstream analysis deliverables shall adopt.</w:t>
      </w:r>
    </w:p>
    <w:p>
      <w:pPr>
        <w:spacing w:after="120" w:line="276"/>
        <w:jc w:val="both"/>
      </w:pPr>
      <w:r>
        <w:t xml:space="preserve">The Memorial Tunnel is adopted as the reference project because it is the most comprehensively documented full-scale tunnel fire ventilation dataset in existence. Between 1993 and 1995, 98 full-scale fire ventilation experiments were conducted in a decommissioned road tunnel in West Virginia, generating over three million measured data points across airflow, temperature, air velocity, smoke movement, and gas concentration. This permits the SES model produced under this project to be directly validated against measured data — a rare and valuable feature that gives the design defensible confidence bounds.</w:t>
      </w:r>
    </w:p>
    <w:p>
      <w:pPr>
        <w:pStyle w:val="Heading2"/>
        <w:spacing w:after="120" w:before="240"/>
      </w:pPr>
      <w:r>
        <w:t xml:space="preserve">1.1  Scope of the Project</w:t>
      </w:r>
    </w:p>
    <w:p>
      <w:pPr>
        <w:spacing w:after="120" w:line="276"/>
        <w:jc w:val="both"/>
      </w:pPr>
      <w:r>
        <w:t xml:space="preserve">The project comprises two integrated objectives, executed as a single body of work:</w:t>
      </w:r>
    </w:p>
    <w:p>
      <w:pPr>
        <w:pStyle w:val="ListParagraph"/>
        <w:numPr>
          <w:ilvl w:val="0"/>
          <w:numId w:val="1"/>
        </w:numPr>
        <w:spacing w:after="60" w:line="264"/>
      </w:pPr>
      <w:r>
        <w:t xml:space="preserve">Validation: reproduce the measured behaviour of selected Memorial Tunnel fire tests in SES v4.1, and quantify the agreement (and disagreement) between SES predictions and measured airflow and temperature. This establishes the model's credibility and its error margins.</w:t>
      </w:r>
    </w:p>
    <w:p>
      <w:pPr>
        <w:pStyle w:val="ListParagraph"/>
        <w:numPr>
          <w:ilvl w:val="0"/>
          <w:numId w:val="1"/>
        </w:numPr>
        <w:spacing w:after="60" w:line="264"/>
      </w:pPr>
      <w:r>
        <w:t xml:space="preserve">Emergency ventilation design: using the validated model, determine the jet-fan operating strategy required to maintain the design criteria (critical velocity, tenability) across the full envelope of design fires and fan-failure contingencies.</w:t>
      </w:r>
    </w:p>
    <w:p>
      <w:pPr>
        <w:spacing w:after="120" w:line="276"/>
        <w:jc w:val="both"/>
      </w:pPr>
      <w:r>
        <w:t xml:space="preserve">The analysis is one-dimensional (SES). Three-dimensional CFD is out of scope for this deliverable set and would be a recommended follow-on for local phenomena such as backlayering length and near-fire stratification, which SES does not resolve.</w:t>
      </w:r>
    </w:p>
    <w:p>
      <w:pPr>
        <w:pStyle w:val="Heading2"/>
        <w:spacing w:after="120" w:before="240"/>
      </w:pPr>
      <w:r>
        <w:t xml:space="preserve">1.2  Deliverables Register</w:t>
      </w:r>
    </w:p>
    <w:p>
      <w:pPr>
        <w:spacing w:after="120" w:line="276"/>
        <w:jc w:val="both"/>
      </w:pPr>
      <w:r>
        <w:t xml:space="preserve">The full deliverable set for this commission 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2200"/>
      </w:tblGrid>
      <w:tr>
        <w:trPr>
          <w:tblHeader/>
        </w:trPr>
        <w:tc>
          <w:tcPr>
            <w:tcW w:type="dxa" w:w="800"/>
            <w:shd w:fill="1F4E5F" w:color="auto" w:val="clear"/>
            <w:tcMar>
              <w:top w:type="dxa" w:w="40"/>
              <w:left w:type="dxa" w:w="90"/>
              <w:bottom w:type="dxa" w:w="40"/>
              <w:right w:type="dxa" w:w="90"/>
            </w:tcMar>
          </w:tcPr>
          <w:p>
            <w:pPr>
              <w:spacing w:after="0" w:line="240"/>
            </w:pPr>
            <w:r>
              <w:rPr>
                <w:b/>
                <w:bCs/>
                <w:color w:val="FFFFFF"/>
                <w:sz w:val="18"/>
                <w:szCs w:val="18"/>
              </w:rPr>
              <w:t xml:space="preserve">No.</w:t>
            </w:r>
          </w:p>
        </w:tc>
        <w:tc>
          <w:tcPr>
            <w:tcW w:type="dxa" w:w="6600"/>
            <w:shd w:fill="1F4E5F" w:color="auto" w:val="clear"/>
            <w:tcMar>
              <w:top w:type="dxa" w:w="40"/>
              <w:left w:type="dxa" w:w="90"/>
              <w:bottom w:type="dxa" w:w="40"/>
              <w:right w:type="dxa" w:w="90"/>
            </w:tcMar>
          </w:tcPr>
          <w:p>
            <w:pPr>
              <w:spacing w:after="0" w:line="240"/>
            </w:pPr>
            <w:r>
              <w:rPr>
                <w:b/>
                <w:bCs/>
                <w:color w:val="FFFFFF"/>
                <w:sz w:val="18"/>
                <w:szCs w:val="18"/>
              </w:rPr>
              <w:t xml:space="preserve">Deliverable</w:t>
            </w:r>
          </w:p>
        </w:tc>
        <w:tc>
          <w:tcPr>
            <w:tcW w:type="dxa" w:w="2200"/>
            <w:shd w:fill="1F4E5F" w:color="auto" w:val="clear"/>
            <w:tcMar>
              <w:top w:type="dxa" w:w="40"/>
              <w:left w:type="dxa" w:w="90"/>
              <w:bottom w:type="dxa" w:w="40"/>
              <w:right w:type="dxa" w:w="90"/>
            </w:tcMar>
          </w:tcPr>
          <w:p>
            <w:pPr>
              <w:spacing w:after="0" w:line="240"/>
            </w:pPr>
            <w:r>
              <w:rPr>
                <w:b/>
                <w:bCs/>
                <w:color w:val="FFFFFF"/>
                <w:sz w:val="18"/>
                <w:szCs w:val="18"/>
              </w:rPr>
              <w:t xml:space="preserve">This DBR ref.</w:t>
            </w:r>
          </w:p>
        </w:tc>
      </w:tr>
      <w:tr>
        <w:trPr>
          <w:tblHeader w:val="false"/>
        </w:trPr>
        <w:tc>
          <w:tcPr>
            <w:tcW w:type="dxa" w:w="800"/>
            <w:tcMar>
              <w:top w:type="dxa" w:w="40"/>
              <w:left w:type="dxa" w:w="90"/>
              <w:bottom w:type="dxa" w:w="40"/>
              <w:right w:type="dxa" w:w="90"/>
            </w:tcMar>
          </w:tcPr>
          <w:p>
            <w:pPr>
              <w:spacing w:after="0" w:line="240"/>
            </w:pPr>
            <w:r>
              <w:rPr>
                <w:b w:val="false"/>
                <w:bCs w:val="false"/>
                <w:color w:val="000000"/>
                <w:sz w:val="18"/>
                <w:szCs w:val="18"/>
              </w:rPr>
              <w:t xml:space="preserve">D1</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Design Basis Report (this document)</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w:t>
            </w:r>
          </w:p>
        </w:tc>
      </w:tr>
      <w:tr>
        <w:trPr>
          <w:tblHeader w:val="false"/>
        </w:trPr>
        <w:tc>
          <w:tcPr>
            <w:tcW w:type="dxa" w:w="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D2</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Critical Velocity &amp; Preliminary Sizing Calculations</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§5, §6</w:t>
            </w:r>
          </w:p>
        </w:tc>
      </w:tr>
      <w:tr>
        <w:trPr>
          <w:tblHeader w:val="false"/>
        </w:trPr>
        <w:tc>
          <w:tcPr>
            <w:tcW w:type="dxa" w:w="800"/>
            <w:tcMar>
              <w:top w:type="dxa" w:w="40"/>
              <w:left w:type="dxa" w:w="90"/>
              <w:bottom w:type="dxa" w:w="40"/>
              <w:right w:type="dxa" w:w="90"/>
            </w:tcMar>
          </w:tcPr>
          <w:p>
            <w:pPr>
              <w:spacing w:after="0" w:line="240"/>
            </w:pPr>
            <w:r>
              <w:rPr>
                <w:b w:val="false"/>
                <w:bCs w:val="false"/>
                <w:color w:val="000000"/>
                <w:sz w:val="18"/>
                <w:szCs w:val="18"/>
              </w:rPr>
              <w:t xml:space="preserve">D3</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SES Input Files &amp; Model Build Documentation</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§4, §7</w:t>
            </w:r>
          </w:p>
        </w:tc>
      </w:tr>
      <w:tr>
        <w:trPr>
          <w:tblHeader w:val="false"/>
        </w:trPr>
        <w:tc>
          <w:tcPr>
            <w:tcW w:type="dxa" w:w="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D4</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Simulation Matrix / Scenario Register</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w:t>
            </w:r>
          </w:p>
        </w:tc>
      </w:tr>
      <w:tr>
        <w:trPr>
          <w:tblHeader w:val="false"/>
        </w:trPr>
        <w:tc>
          <w:tcPr>
            <w:tcW w:type="dxa" w:w="800"/>
            <w:tcMar>
              <w:top w:type="dxa" w:w="40"/>
              <w:left w:type="dxa" w:w="90"/>
              <w:bottom w:type="dxa" w:w="40"/>
              <w:right w:type="dxa" w:w="90"/>
            </w:tcMar>
          </w:tcPr>
          <w:p>
            <w:pPr>
              <w:spacing w:after="0" w:line="240"/>
            </w:pPr>
            <w:r>
              <w:rPr>
                <w:b w:val="false"/>
                <w:bCs w:val="false"/>
                <w:color w:val="000000"/>
                <w:sz w:val="18"/>
                <w:szCs w:val="18"/>
              </w:rPr>
              <w:t xml:space="preserve">D5</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Long-Term Heat Sink Analysis</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§7.4</w:t>
            </w:r>
          </w:p>
        </w:tc>
      </w:tr>
      <w:tr>
        <w:trPr>
          <w:tblHeader w:val="false"/>
        </w:trPr>
        <w:tc>
          <w:tcPr>
            <w:tcW w:type="dxa" w:w="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D6</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Results Analysis &amp; Validation Report</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§6, §9</w:t>
            </w:r>
          </w:p>
        </w:tc>
      </w:tr>
      <w:tr>
        <w:trPr>
          <w:tblHeader w:val="false"/>
        </w:trPr>
        <w:tc>
          <w:tcPr>
            <w:tcW w:type="dxa" w:w="800"/>
            <w:tcMar>
              <w:top w:type="dxa" w:w="40"/>
              <w:left w:type="dxa" w:w="90"/>
              <w:bottom w:type="dxa" w:w="40"/>
              <w:right w:type="dxa" w:w="90"/>
            </w:tcMar>
          </w:tcPr>
          <w:p>
            <w:pPr>
              <w:spacing w:after="0" w:line="240"/>
            </w:pPr>
            <w:r>
              <w:rPr>
                <w:b w:val="false"/>
                <w:bCs w:val="false"/>
                <w:color w:val="000000"/>
                <w:sz w:val="18"/>
                <w:szCs w:val="18"/>
              </w:rPr>
              <w:t xml:space="preserve">D7</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Excel Data Workbooks + VBA Automation</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§9</w:t>
            </w:r>
          </w:p>
        </w:tc>
      </w:tr>
      <w:tr>
        <w:trPr>
          <w:tblHeader w:val="false"/>
        </w:trPr>
        <w:tc>
          <w:tcPr>
            <w:tcW w:type="dxa" w:w="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D8</w:t>
            </w:r>
          </w:p>
        </w:tc>
        <w:tc>
          <w:tcPr>
            <w:tcW w:type="dxa" w:w="6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Emergency Ventilation Response / Fan Operating Matrix</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w:t>
            </w:r>
          </w:p>
        </w:tc>
      </w:tr>
      <w:tr>
        <w:trPr>
          <w:tblHeader w:val="false"/>
        </w:trPr>
        <w:tc>
          <w:tcPr>
            <w:tcW w:type="dxa" w:w="800"/>
            <w:tcMar>
              <w:top w:type="dxa" w:w="40"/>
              <w:left w:type="dxa" w:w="90"/>
              <w:bottom w:type="dxa" w:w="40"/>
              <w:right w:type="dxa" w:w="90"/>
            </w:tcMar>
          </w:tcPr>
          <w:p>
            <w:pPr>
              <w:spacing w:after="0" w:line="240"/>
            </w:pPr>
            <w:r>
              <w:rPr>
                <w:b w:val="false"/>
                <w:bCs w:val="false"/>
                <w:color w:val="000000"/>
                <w:sz w:val="18"/>
                <w:szCs w:val="18"/>
              </w:rPr>
              <w:t xml:space="preserve">D9</w:t>
            </w:r>
          </w:p>
        </w:tc>
        <w:tc>
          <w:tcPr>
            <w:tcW w:type="dxa" w:w="6600"/>
            <w:tcMar>
              <w:top w:type="dxa" w:w="40"/>
              <w:left w:type="dxa" w:w="90"/>
              <w:bottom w:type="dxa" w:w="40"/>
              <w:right w:type="dxa" w:w="90"/>
            </w:tcMar>
          </w:tcPr>
          <w:p>
            <w:pPr>
              <w:spacing w:after="0" w:line="240"/>
            </w:pPr>
            <w:r>
              <w:rPr>
                <w:b w:val="false"/>
                <w:bCs w:val="false"/>
                <w:color w:val="000000"/>
                <w:sz w:val="18"/>
                <w:szCs w:val="18"/>
              </w:rPr>
              <w:t xml:space="preserve">Final Engineering Report</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w:t>
            </w:r>
          </w:p>
        </w:tc>
      </w:tr>
    </w:tbl>
    <w:p>
      <w:pPr>
        <w:pStyle w:val="Heading1"/>
        <w:spacing w:after="120" w:before="240"/>
      </w:pPr>
      <w:r>
        <w:t xml:space="preserve">2  Codes, Standards &amp; References</w:t>
      </w:r>
    </w:p>
    <w:p>
      <w:pPr>
        <w:spacing w:after="120" w:line="276"/>
        <w:jc w:val="both"/>
      </w:pPr>
      <w:r>
        <w:t xml:space="preserve">The design basis references the following codes and standards. Where the reference project (a US road tunnel) and modern rail practice differ, the governing document is identified per criterion in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Reference</w:t>
            </w:r>
          </w:p>
        </w:tc>
        <w:tc>
          <w:tcPr>
            <w:tcW w:type="dxa" w:w="7000"/>
            <w:shd w:fill="1F4E5F" w:color="auto" w:val="clear"/>
            <w:tcMar>
              <w:top w:type="dxa" w:w="40"/>
              <w:left w:type="dxa" w:w="90"/>
              <w:bottom w:type="dxa" w:w="40"/>
              <w:right w:type="dxa" w:w="90"/>
            </w:tcMar>
          </w:tcPr>
          <w:p>
            <w:pPr>
              <w:spacing w:after="0" w:line="240"/>
            </w:pPr>
            <w:r>
              <w:rPr>
                <w:b/>
                <w:bCs/>
                <w:color w:val="FFFFFF"/>
                <w:sz w:val="18"/>
                <w:szCs w:val="18"/>
              </w:rPr>
              <w:t xml:space="preserve">Title / Scope</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NFPA 502</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Standard for Road Tunnels, Bridges, and Other Limited Access Highways — emergency ventilation, critical velocity, tenability</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NFPA 130</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Standard for Fixed Guideway Transit and Passenger Rail Systems — emergency ventilation for rail tunnels (adopted where rail practice governs)</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ASHRAE Handbook</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HVAC Applications — Enclosed Vehicular Facilities chapter (incorporates MTFVTP findings)</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SES v4.1 User's Manual</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Subway Environmental Design Handbook; SES Computer Program Part I, US DOT / Volpe Center, 2002</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MTFVTP Reports</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Memorial Tunnel Fire Ventilation Test Program, Phase IV &amp; Test Reports, Bechtel/Parsons Brinckerhoff, 1995 &amp; 1999</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PIARC</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Road Tunnels Manual — fire &amp; smoke control design fire guidance</w:t>
            </w:r>
          </w:p>
        </w:tc>
      </w:tr>
    </w:tbl>
    <w:p>
      <w:pPr>
        <w:pStyle w:val="Heading1"/>
        <w:spacing w:after="120" w:before="240"/>
      </w:pPr>
      <w:r>
        <w:t xml:space="preserve">3  Tunnel Geometry &amp; Physical Data</w:t>
      </w:r>
    </w:p>
    <w:p>
      <w:pPr>
        <w:spacing w:after="120" w:line="276"/>
        <w:jc w:val="both"/>
      </w:pPr>
      <w:r>
        <w:t xml:space="preserve">All geometry below is taken from the MTFVTP test reports and confirmed against the segment-length schedule used in the reference SES models. The tunnel is modelled as a single longitudinal bore.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rPr>
          <w:tblHeader/>
        </w:trPr>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Parameter</w:t>
            </w:r>
          </w:p>
        </w:tc>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c>
          <w:tcPr>
            <w:tcW w:type="dxa" w:w="3800"/>
            <w:shd w:fill="1F4E5F" w:color="auto" w:val="clear"/>
            <w:tcMar>
              <w:top w:type="dxa" w:w="40"/>
              <w:left w:type="dxa" w:w="90"/>
              <w:bottom w:type="dxa" w:w="40"/>
              <w:right w:type="dxa" w:w="90"/>
            </w:tcMar>
          </w:tcPr>
          <w:p>
            <w:pPr>
              <w:spacing w:after="0" w:line="240"/>
            </w:pPr>
            <w:r>
              <w:rPr>
                <w:b/>
                <w:bCs/>
                <w:color w:val="FFFFFF"/>
                <w:sz w:val="18"/>
                <w:szCs w:val="18"/>
              </w:rPr>
              <w:t xml:space="preserve">Notes</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Overall length</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853.75 m (≈854 m)</w:t>
            </w:r>
          </w:p>
        </w:tc>
        <w:tc>
          <w:tcPr>
            <w:tcW w:type="dxa" w:w="3800"/>
            <w:tcMar>
              <w:top w:type="dxa" w:w="40"/>
              <w:left w:type="dxa" w:w="90"/>
              <w:bottom w:type="dxa" w:w="40"/>
              <w:right w:type="dxa" w:w="90"/>
            </w:tcMar>
          </w:tcPr>
          <w:p>
            <w:pPr>
              <w:spacing w:after="0" w:line="240"/>
            </w:pPr>
            <w:r>
              <w:rPr>
                <w:b w:val="false"/>
                <w:bCs w:val="false"/>
                <w:color w:val="000000"/>
                <w:sz w:val="18"/>
                <w:szCs w:val="18"/>
              </w:rPr>
              <w:t xml:space="preserve">Sum of 45 modelled segments</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Grade</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3.2% constant, uphill S→N</w:t>
            </w:r>
          </w:p>
        </w:tc>
        <w:tc>
          <w:tcPr>
            <w:tcW w:type="dxa" w:w="3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South portal low, north portal high</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Width (roadway)</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8.8 m</w:t>
            </w:r>
          </w:p>
        </w:tc>
        <w:tc>
          <w:tcPr>
            <w:tcW w:type="dxa" w:w="3800"/>
            <w:tcMar>
              <w:top w:type="dxa" w:w="40"/>
              <w:left w:type="dxa" w:w="90"/>
              <w:bottom w:type="dxa" w:w="40"/>
              <w:right w:type="dxa" w:w="90"/>
            </w:tcMar>
          </w:tcPr>
          <w:p>
            <w:pPr>
              <w:spacing w:after="0" w:line="240"/>
            </w:pPr>
            <w:r>
              <w:rPr>
                <w:b w:val="false"/>
                <w:bCs w:val="false"/>
                <w:color w:val="000000"/>
                <w:sz w:val="18"/>
                <w:szCs w:val="18"/>
              </w:rPr>
              <w:t xml:space="preserve">Two-lane road tunnel</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Height (crown)</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7.9 m</w:t>
            </w:r>
          </w:p>
        </w:tc>
        <w:tc>
          <w:tcPr>
            <w:tcW w:type="dxa" w:w="3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At peak of rounded ceiling</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Cross-sectional area</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≈60.4 m² (≈650 ft²)</w:t>
            </w:r>
          </w:p>
        </w:tc>
        <w:tc>
          <w:tcPr>
            <w:tcW w:type="dxa" w:w="3800"/>
            <w:tcMar>
              <w:top w:type="dxa" w:w="40"/>
              <w:left w:type="dxa" w:w="90"/>
              <w:bottom w:type="dxa" w:w="40"/>
              <w:right w:type="dxa" w:w="90"/>
            </w:tcMar>
          </w:tcPr>
          <w:p>
            <w:pPr>
              <w:spacing w:after="0" w:line="240"/>
            </w:pPr>
            <w:r>
              <w:rPr>
                <w:b w:val="false"/>
                <w:bCs w:val="false"/>
                <w:color w:val="000000"/>
                <w:sz w:val="18"/>
                <w:szCs w:val="18"/>
              </w:rPr>
              <w:t xml:space="preserve">Used in SES section cards</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Walkway</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East wall</w:t>
            </w:r>
          </w:p>
        </w:tc>
        <w:tc>
          <w:tcPr>
            <w:tcW w:type="dxa" w:w="3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Egress path</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Instrument loops</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15 loops</w:t>
            </w:r>
          </w:p>
        </w:tc>
        <w:tc>
          <w:tcPr>
            <w:tcW w:type="dxa" w:w="3800"/>
            <w:tcMar>
              <w:top w:type="dxa" w:w="40"/>
              <w:left w:type="dxa" w:w="90"/>
              <w:bottom w:type="dxa" w:w="40"/>
              <w:right w:type="dxa" w:w="90"/>
            </w:tcMar>
          </w:tcPr>
          <w:p>
            <w:pPr>
              <w:spacing w:after="0" w:line="240"/>
            </w:pPr>
            <w:r>
              <w:rPr>
                <w:b w:val="false"/>
                <w:bCs w:val="false"/>
                <w:color w:val="000000"/>
                <w:sz w:val="18"/>
                <w:szCs w:val="18"/>
              </w:rPr>
              <w:t xml:space="preserve">Airflow, temperature, gas, velocity</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Portals</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North (high) &amp; South (low)</w:t>
            </w:r>
          </w:p>
        </w:tc>
        <w:tc>
          <w:tcPr>
            <w:tcW w:type="dxa" w:w="3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Open to atmosphere</w:t>
            </w:r>
          </w:p>
        </w:tc>
      </w:tr>
    </w:tbl>
    <w:p>
      <w:pPr>
        <w:pStyle w:val="Heading2"/>
        <w:spacing w:after="120" w:before="240"/>
      </w:pPr>
      <w:r>
        <w:t xml:space="preserve">3.1  SES Spatial Discretisation</w:t>
      </w:r>
    </w:p>
    <w:p>
      <w:pPr>
        <w:spacing w:after="120" w:line="276"/>
        <w:jc w:val="both"/>
      </w:pPr>
      <w:r>
        <w:t xml:space="preserve">The tunnel is discretised into line segments no longer than approximately 25 m to ensure high spatial resolution of the airflow, pressure, and temperature fields. The reference model uses 46 nodes and 45 line segments; this discretisation is adopted for this project. Segment boundaries are aligned with the instrument-loop locations so that predictions can be compared point-for-point against measured data.</w:t>
      </w:r>
    </w:p>
    <w:p>
      <w:pPr>
        <w:pStyle w:val="Heading1"/>
        <w:spacing w:after="120" w:before="240"/>
      </w:pPr>
      <w:r>
        <w:t xml:space="preserve">4  Ventilation System Configuration</w:t>
      </w:r>
    </w:p>
    <w:p>
      <w:pPr>
        <w:spacing w:after="120" w:line="276"/>
        <w:jc w:val="both"/>
      </w:pPr>
      <w:r>
        <w:t xml:space="preserve">The emergency ventilation strategy is longitudinal, using ceiling-mounted reversible jet fans to drive a controlled longitudinal airflow. The objective in a fire event is to push smoke to one side of the fire (downstream) and hold the upstream side clear for evacuation and firefighter ingress, by maintaining airflow at or above the critical velocity.</w:t>
      </w:r>
    </w:p>
    <w:p>
      <w:pPr>
        <w:pStyle w:val="Heading2"/>
        <w:spacing w:after="120" w:before="240"/>
      </w:pPr>
      <w:r>
        <w:t xml:space="preserve">4.1  Jet Fan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00"/>
      </w:tblGrid>
      <w:tr>
        <w:trPr>
          <w:tblHeader/>
        </w:trPr>
        <w:tc>
          <w:tcPr>
            <w:tcW w:type="dxa" w:w="2900"/>
            <w:shd w:fill="1F4E5F" w:color="auto" w:val="clear"/>
            <w:tcMar>
              <w:top w:type="dxa" w:w="40"/>
              <w:left w:type="dxa" w:w="90"/>
              <w:bottom w:type="dxa" w:w="40"/>
              <w:right w:type="dxa" w:w="90"/>
            </w:tcMar>
          </w:tcPr>
          <w:p>
            <w:pPr>
              <w:spacing w:after="0" w:line="240"/>
            </w:pPr>
            <w:r>
              <w:rPr>
                <w:b/>
                <w:bCs/>
                <w:color w:val="FFFFFF"/>
                <w:sz w:val="18"/>
                <w:szCs w:val="18"/>
              </w:rPr>
              <w:t xml:space="preserve">Parameter</w:t>
            </w:r>
          </w:p>
        </w:tc>
        <w:tc>
          <w:tcPr>
            <w:tcW w:type="dxa" w:w="32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c>
          <w:tcPr>
            <w:tcW w:type="dxa" w:w="3500"/>
            <w:shd w:fill="1F4E5F" w:color="auto" w:val="clear"/>
            <w:tcMar>
              <w:top w:type="dxa" w:w="40"/>
              <w:left w:type="dxa" w:w="90"/>
              <w:bottom w:type="dxa" w:w="40"/>
              <w:right w:type="dxa" w:w="90"/>
            </w:tcMar>
          </w:tcPr>
          <w:p>
            <w:pPr>
              <w:spacing w:after="0" w:line="240"/>
            </w:pPr>
            <w:r>
              <w:rPr>
                <w:b/>
                <w:bCs/>
                <w:color w:val="FFFFFF"/>
                <w:sz w:val="18"/>
                <w:szCs w:val="18"/>
              </w:rPr>
              <w:t xml:space="preserve">Basis</w:t>
            </w:r>
          </w:p>
        </w:tc>
      </w:tr>
      <w:tr>
        <w:trPr>
          <w:tblHeader w:val="false"/>
        </w:trPr>
        <w:tc>
          <w:tcPr>
            <w:tcW w:type="dxa" w:w="2900"/>
            <w:tcMar>
              <w:top w:type="dxa" w:w="40"/>
              <w:left w:type="dxa" w:w="90"/>
              <w:bottom w:type="dxa" w:w="40"/>
              <w:right w:type="dxa" w:w="90"/>
            </w:tcMar>
          </w:tcPr>
          <w:p>
            <w:pPr>
              <w:spacing w:after="0" w:line="240"/>
            </w:pPr>
            <w:r>
              <w:rPr>
                <w:b w:val="false"/>
                <w:bCs w:val="false"/>
                <w:color w:val="000000"/>
                <w:sz w:val="18"/>
                <w:szCs w:val="18"/>
              </w:rPr>
              <w:t xml:space="preserve">Fan type</w:t>
            </w:r>
          </w:p>
        </w:tc>
        <w:tc>
          <w:tcPr>
            <w:tcW w:type="dxa" w:w="3200"/>
            <w:tcMar>
              <w:top w:type="dxa" w:w="40"/>
              <w:left w:type="dxa" w:w="90"/>
              <w:bottom w:type="dxa" w:w="40"/>
              <w:right w:type="dxa" w:w="90"/>
            </w:tcMar>
          </w:tcPr>
          <w:p>
            <w:pPr>
              <w:spacing w:after="0" w:line="240"/>
            </w:pPr>
            <w:r>
              <w:rPr>
                <w:b w:val="false"/>
                <w:bCs w:val="false"/>
                <w:color w:val="000000"/>
                <w:sz w:val="18"/>
                <w:szCs w:val="18"/>
              </w:rPr>
              <w:t xml:space="preserve">Reversible axial jet fan</w:t>
            </w:r>
          </w:p>
        </w:tc>
        <w:tc>
          <w:tcPr>
            <w:tcW w:type="dxa" w:w="3500"/>
            <w:tcMar>
              <w:top w:type="dxa" w:w="40"/>
              <w:left w:type="dxa" w:w="90"/>
              <w:bottom w:type="dxa" w:w="40"/>
              <w:right w:type="dxa" w:w="90"/>
            </w:tcMar>
          </w:tcPr>
          <w:p>
            <w:pPr>
              <w:spacing w:after="0" w:line="240"/>
            </w:pPr>
            <w:r>
              <w:rPr>
                <w:b w:val="false"/>
                <w:bCs w:val="false"/>
                <w:color w:val="000000"/>
                <w:sz w:val="18"/>
                <w:szCs w:val="18"/>
              </w:rPr>
              <w:t xml:space="preserve">Ceiling-cantilevered</w:t>
            </w:r>
          </w:p>
        </w:tc>
      </w:tr>
      <w:tr>
        <w:trPr>
          <w:tblHeader w:val="false"/>
        </w:trPr>
        <w:tc>
          <w:tcPr>
            <w:tcW w:type="dxa" w:w="29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Volume flow (per fan)</w:t>
            </w:r>
          </w:p>
        </w:tc>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42.95 m³/s</w:t>
            </w:r>
          </w:p>
        </w:tc>
        <w:tc>
          <w:tcPr>
            <w:tcW w:type="dxa" w:w="3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Reference SES jet-fan model</w:t>
            </w:r>
          </w:p>
        </w:tc>
      </w:tr>
      <w:tr>
        <w:trPr>
          <w:tblHeader w:val="false"/>
        </w:trPr>
        <w:tc>
          <w:tcPr>
            <w:tcW w:type="dxa" w:w="2900"/>
            <w:tcMar>
              <w:top w:type="dxa" w:w="40"/>
              <w:left w:type="dxa" w:w="90"/>
              <w:bottom w:type="dxa" w:w="40"/>
              <w:right w:type="dxa" w:w="90"/>
            </w:tcMar>
          </w:tcPr>
          <w:p>
            <w:pPr>
              <w:spacing w:after="0" w:line="240"/>
            </w:pPr>
            <w:r>
              <w:rPr>
                <w:b w:val="false"/>
                <w:bCs w:val="false"/>
                <w:color w:val="000000"/>
                <w:sz w:val="18"/>
                <w:szCs w:val="18"/>
              </w:rPr>
              <w:t xml:space="preserve">Discharge velocity</w:t>
            </w:r>
          </w:p>
        </w:tc>
        <w:tc>
          <w:tcPr>
            <w:tcW w:type="dxa" w:w="3200"/>
            <w:tcMar>
              <w:top w:type="dxa" w:w="40"/>
              <w:left w:type="dxa" w:w="90"/>
              <w:bottom w:type="dxa" w:w="40"/>
              <w:right w:type="dxa" w:w="90"/>
            </w:tcMar>
          </w:tcPr>
          <w:p>
            <w:pPr>
              <w:spacing w:after="0" w:line="240"/>
            </w:pPr>
            <w:r>
              <w:rPr>
                <w:b w:val="false"/>
                <w:bCs w:val="false"/>
                <w:color w:val="000000"/>
                <w:sz w:val="18"/>
                <w:szCs w:val="18"/>
              </w:rPr>
              <w:t xml:space="preserve">34.2 m/s</w:t>
            </w:r>
          </w:p>
        </w:tc>
        <w:tc>
          <w:tcPr>
            <w:tcW w:type="dxa" w:w="3500"/>
            <w:tcMar>
              <w:top w:type="dxa" w:w="40"/>
              <w:left w:type="dxa" w:w="90"/>
              <w:bottom w:type="dxa" w:w="40"/>
              <w:right w:type="dxa" w:w="90"/>
            </w:tcMar>
          </w:tcPr>
          <w:p>
            <w:pPr>
              <w:spacing w:after="0" w:line="240"/>
            </w:pPr>
            <w:r>
              <w:rPr>
                <w:b w:val="false"/>
                <w:bCs w:val="false"/>
                <w:color w:val="000000"/>
                <w:sz w:val="18"/>
                <w:szCs w:val="18"/>
              </w:rPr>
              <w:t xml:space="preserve">Reference SES jet-fan model</w:t>
            </w:r>
          </w:p>
        </w:tc>
      </w:tr>
      <w:tr>
        <w:trPr>
          <w:tblHeader w:val="false"/>
        </w:trPr>
        <w:tc>
          <w:tcPr>
            <w:tcW w:type="dxa" w:w="29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Pressure efficiency (η)</w:t>
            </w:r>
          </w:p>
        </w:tc>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75% – 83%</w:t>
            </w:r>
          </w:p>
        </w:tc>
        <w:tc>
          <w:tcPr>
            <w:tcW w:type="dxa" w:w="3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Reported MTFVTP range; both bracketed</w:t>
            </w:r>
          </w:p>
        </w:tc>
      </w:tr>
      <w:tr>
        <w:trPr>
          <w:tblHeader w:val="false"/>
        </w:trPr>
        <w:tc>
          <w:tcPr>
            <w:tcW w:type="dxa" w:w="2900"/>
            <w:tcMar>
              <w:top w:type="dxa" w:w="40"/>
              <w:left w:type="dxa" w:w="90"/>
              <w:bottom w:type="dxa" w:w="40"/>
              <w:right w:type="dxa" w:w="90"/>
            </w:tcMar>
          </w:tcPr>
          <w:p>
            <w:pPr>
              <w:spacing w:after="0" w:line="240"/>
            </w:pPr>
            <w:r>
              <w:rPr>
                <w:b w:val="false"/>
                <w:bCs w:val="false"/>
                <w:color w:val="000000"/>
                <w:sz w:val="18"/>
                <w:szCs w:val="18"/>
              </w:rPr>
              <w:t xml:space="preserve">Longitudinal spacing</w:t>
            </w:r>
          </w:p>
        </w:tc>
        <w:tc>
          <w:tcPr>
            <w:tcW w:type="dxa" w:w="3200"/>
            <w:tcMar>
              <w:top w:type="dxa" w:w="40"/>
              <w:left w:type="dxa" w:w="90"/>
              <w:bottom w:type="dxa" w:w="40"/>
              <w:right w:type="dxa" w:w="90"/>
            </w:tcMar>
          </w:tcPr>
          <w:p>
            <w:pPr>
              <w:spacing w:after="0" w:line="240"/>
            </w:pPr>
            <w:r>
              <w:rPr>
                <w:b w:val="false"/>
                <w:bCs w:val="false"/>
                <w:color w:val="000000"/>
                <w:sz w:val="18"/>
                <w:szCs w:val="18"/>
              </w:rPr>
              <w:t xml:space="preserve">≈95 m</w:t>
            </w:r>
          </w:p>
        </w:tc>
        <w:tc>
          <w:tcPr>
            <w:tcW w:type="dxa" w:w="3500"/>
            <w:tcMar>
              <w:top w:type="dxa" w:w="40"/>
              <w:left w:type="dxa" w:w="90"/>
              <w:bottom w:type="dxa" w:w="40"/>
              <w:right w:type="dxa" w:w="90"/>
            </w:tcMar>
          </w:tcPr>
          <w:p>
            <w:pPr>
              <w:spacing w:after="0" w:line="240"/>
            </w:pPr>
            <w:r>
              <w:rPr>
                <w:b w:val="false"/>
                <w:bCs w:val="false"/>
                <w:color w:val="000000"/>
                <w:sz w:val="18"/>
                <w:szCs w:val="18"/>
              </w:rPr>
              <w:t xml:space="preserve">Between fan groups</w:t>
            </w:r>
          </w:p>
        </w:tc>
      </w:tr>
      <w:tr>
        <w:trPr>
          <w:tblHeader w:val="false"/>
        </w:trPr>
        <w:tc>
          <w:tcPr>
            <w:tcW w:type="dxa" w:w="29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Total fans available</w:t>
            </w:r>
          </w:p>
        </w:tc>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Up to 24 (installed program-wide)</w:t>
            </w:r>
          </w:p>
        </w:tc>
        <w:tc>
          <w:tcPr>
            <w:tcW w:type="dxa" w:w="3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Grouped, ~3 per group</w:t>
            </w:r>
          </w:p>
        </w:tc>
      </w:tr>
    </w:tbl>
    <w:p>
      <w:pPr>
        <w:spacing w:after="120" w:line="276"/>
        <w:jc w:val="both"/>
      </w:pPr>
      <w:r>
        <w:t xml:space="preserve">The jet fan pressure rise added to the tunnel airflow is computed in SES from the fan volume flow, jet velocity, cold-air velocity, tunnel area and pressure efficiency. Efficiency is treated as a sensitivity parameter (75% and 83% bracketing cases) because measured efficiency degrades toward the lower bound as the number of operating fans — and therefore turbulence, vibration and inter-fan interference — increases.</w:t>
      </w:r>
    </w:p>
    <w:p>
      <w:pPr>
        <w:pStyle w:val="Heading2"/>
        <w:spacing w:after="120" w:before="240"/>
      </w:pPr>
      <w:r>
        <w:t xml:space="preserve">4.2  Tunnel Aerodynamic Losses</w:t>
      </w:r>
    </w:p>
    <w:p>
      <w:pPr>
        <w:spacing w:after="120" w:line="276"/>
        <w:jc w:val="both"/>
      </w:pPr>
      <w:r>
        <w:t xml:space="preserve">The tunnel pressure-loss model adopted from the validated reference is as follows. These values shall be held constant across all runs unless a sensitivity study explicitly varies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00"/>
      </w:tblGrid>
      <w:tr>
        <w:trPr>
          <w:tblHeader/>
        </w:trPr>
        <w:tc>
          <w:tcPr>
            <w:tcW w:type="dxa" w:w="3400"/>
            <w:shd w:fill="1F4E5F" w:color="auto" w:val="clear"/>
            <w:tcMar>
              <w:top w:type="dxa" w:w="40"/>
              <w:left w:type="dxa" w:w="90"/>
              <w:bottom w:type="dxa" w:w="40"/>
              <w:right w:type="dxa" w:w="90"/>
            </w:tcMar>
          </w:tcPr>
          <w:p>
            <w:pPr>
              <w:spacing w:after="0" w:line="240"/>
            </w:pPr>
            <w:r>
              <w:rPr>
                <w:b/>
                <w:bCs/>
                <w:color w:val="FFFFFF"/>
                <w:sz w:val="18"/>
                <w:szCs w:val="18"/>
              </w:rPr>
              <w:t xml:space="preserve">Loss parameter</w:t>
            </w:r>
          </w:p>
        </w:tc>
        <w:tc>
          <w:tcPr>
            <w:tcW w:type="dxa" w:w="22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c>
          <w:tcPr>
            <w:tcW w:type="dxa" w:w="4000"/>
            <w:shd w:fill="1F4E5F" w:color="auto" w:val="clear"/>
            <w:tcMar>
              <w:top w:type="dxa" w:w="40"/>
              <w:left w:type="dxa" w:w="90"/>
              <w:bottom w:type="dxa" w:w="40"/>
              <w:right w:type="dxa" w:w="90"/>
            </w:tcMar>
          </w:tcPr>
          <w:p>
            <w:pPr>
              <w:spacing w:after="0" w:line="240"/>
            </w:pPr>
            <w:r>
              <w:rPr>
                <w:b/>
                <w:bCs/>
                <w:color w:val="FFFFFF"/>
                <w:sz w:val="18"/>
                <w:szCs w:val="18"/>
              </w:rPr>
              <w:t xml:space="preserve">Comment</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Fully-turbulent friction factor (f)</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0.0055</w:t>
            </w:r>
          </w:p>
        </w:tc>
        <w:tc>
          <w:tcPr>
            <w:tcW w:type="dxa" w:w="4000"/>
            <w:tcMar>
              <w:top w:type="dxa" w:w="40"/>
              <w:left w:type="dxa" w:w="90"/>
              <w:bottom w:type="dxa" w:w="40"/>
              <w:right w:type="dxa" w:w="90"/>
            </w:tcMar>
          </w:tcPr>
          <w:p>
            <w:pPr>
              <w:spacing w:after="0" w:line="240"/>
            </w:pPr>
            <w:r>
              <w:rPr>
                <w:b w:val="false"/>
                <w:bCs w:val="false"/>
                <w:color w:val="000000"/>
                <w:sz w:val="18"/>
                <w:szCs w:val="18"/>
              </w:rPr>
              <w:t xml:space="preserve">Applied to all tunnel sections</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Wall-friction head loss (K)</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2.5</w:t>
            </w:r>
          </w:p>
        </w:tc>
        <w:tc>
          <w:tcPr>
            <w:tcW w:type="dxa" w:w="4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Distributed</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Minor / obstruction K-loss</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10.6</w:t>
            </w:r>
          </w:p>
        </w:tc>
        <w:tc>
          <w:tcPr>
            <w:tcW w:type="dxa" w:w="4000"/>
            <w:tcMar>
              <w:top w:type="dxa" w:w="40"/>
              <w:left w:type="dxa" w:w="90"/>
              <w:bottom w:type="dxa" w:w="40"/>
              <w:right w:type="dxa" w:w="90"/>
            </w:tcMar>
          </w:tcPr>
          <w:p>
            <w:pPr>
              <w:spacing w:after="0" w:line="240"/>
            </w:pPr>
            <w:r>
              <w:rPr>
                <w:b w:val="false"/>
                <w:bCs w:val="false"/>
                <w:color w:val="000000"/>
                <w:sz w:val="18"/>
                <w:szCs w:val="18"/>
              </w:rPr>
              <w:t xml:space="preserve">Inlet, exit, area changes, instrumentation blockage</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Total tunnel K-loss</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13.1</w:t>
            </w:r>
          </w:p>
        </w:tc>
        <w:tc>
          <w:tcPr>
            <w:tcW w:type="dxa" w:w="4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Sum; matches reported MTFVTP value</w:t>
            </w:r>
          </w:p>
        </w:tc>
      </w:tr>
    </w:tbl>
    <w:p>
      <w:pPr>
        <w:pStyle w:val="Heading1"/>
        <w:spacing w:after="120" w:before="240"/>
      </w:pPr>
      <w:r>
        <w:t xml:space="preserve">5  Design Criteria</w:t>
      </w:r>
    </w:p>
    <w:p>
      <w:pPr>
        <w:spacing w:after="120" w:line="276"/>
        <w:jc w:val="both"/>
      </w:pPr>
      <w:r>
        <w:t xml:space="preserve">The ventilation system shall be assessed against the following performance criteria. These are the pass/fail measures applied to every fire scenario.</w:t>
      </w:r>
    </w:p>
    <w:p>
      <w:pPr>
        <w:pStyle w:val="Heading2"/>
        <w:spacing w:after="120" w:before="240"/>
      </w:pPr>
      <w:r>
        <w:t xml:space="preserve">5.1  Critical Velocity (smoke control)</w:t>
      </w:r>
    </w:p>
    <w:p>
      <w:pPr>
        <w:spacing w:after="120" w:line="276"/>
        <w:jc w:val="both"/>
      </w:pPr>
      <w:r>
        <w:t xml:space="preserve">The governing smoke-control criterion is that the longitudinal air velocity upstream of the fire must equal or exceed the critical velocity — the minimum velocity that arrests backlayering (upstream smoke propagation). The MTFVTP measured that longitudinal air velocities of approximately 2.5 to 3.0 m/s were sufficient to preclude backlayering for fires ranging from 10 MW to 100 MW. This measured band is adopted as the validation benchmark; the design critical velocity for each fire size shall additionally be computed analytically (Kennedy / Froude-based method) in Deliverable D2 and the governing (higher) value applied.</w:t>
      </w:r>
    </w:p>
    <w:p>
      <w:pPr>
        <w:pStyle w:val="Heading2"/>
        <w:spacing w:after="120" w:before="240"/>
      </w:pPr>
      <w:r>
        <w:t xml:space="preserve">5.2  Tenability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800"/>
      </w:tblGrid>
      <w:tr>
        <w:trPr>
          <w:tblHeader/>
        </w:trPr>
        <w:tc>
          <w:tcPr>
            <w:tcW w:type="dxa" w:w="3400"/>
            <w:shd w:fill="1F4E5F" w:color="auto" w:val="clear"/>
            <w:tcMar>
              <w:top w:type="dxa" w:w="40"/>
              <w:left w:type="dxa" w:w="90"/>
              <w:bottom w:type="dxa" w:w="40"/>
              <w:right w:type="dxa" w:w="90"/>
            </w:tcMar>
          </w:tcPr>
          <w:p>
            <w:pPr>
              <w:spacing w:after="0" w:line="240"/>
            </w:pPr>
            <w:r>
              <w:rPr>
                <w:b/>
                <w:bCs/>
                <w:color w:val="FFFFFF"/>
                <w:sz w:val="18"/>
                <w:szCs w:val="18"/>
              </w:rPr>
              <w:t xml:space="preserve">Criterion</w:t>
            </w:r>
          </w:p>
        </w:tc>
        <w:tc>
          <w:tcPr>
            <w:tcW w:type="dxa" w:w="3400"/>
            <w:shd w:fill="1F4E5F" w:color="auto" w:val="clear"/>
            <w:tcMar>
              <w:top w:type="dxa" w:w="40"/>
              <w:left w:type="dxa" w:w="90"/>
              <w:bottom w:type="dxa" w:w="40"/>
              <w:right w:type="dxa" w:w="90"/>
            </w:tcMar>
          </w:tcPr>
          <w:p>
            <w:pPr>
              <w:spacing w:after="0" w:line="240"/>
            </w:pPr>
            <w:r>
              <w:rPr>
                <w:b/>
                <w:bCs/>
                <w:color w:val="FFFFFF"/>
                <w:sz w:val="18"/>
                <w:szCs w:val="18"/>
              </w:rPr>
              <w:t xml:space="preserve">Limit</w:t>
            </w:r>
          </w:p>
        </w:tc>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Basis</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Air temperature (evacuation path)</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 60 °C for exposure</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Tenability for evacuating occupants</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Critical velocity</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 analytically-derived Vc per fire</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Backlayering control</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Backlayering</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None upstream of fire at steady state</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Smoke confined downstream</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Visibility / CO</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Assessed qualitatively (1-D limit)</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SES does not resolve local visibility</w:t>
            </w:r>
          </w:p>
        </w:tc>
      </w:tr>
    </w:tbl>
    <w:p>
      <w:pPr>
        <w:spacing w:after="120" w:line="276"/>
        <w:jc w:val="both"/>
      </w:pPr>
      <w:r>
        <w:t xml:space="preserve">Note on model limitation: SES caps the maximum flame temperature at 1093.3 °C and does not model heat transfer from the fire to the upstream section. Downstream and near-fire temperatures may therefore be under-predicted. A conservative safety margin, derived from the validation error quantified in D6, shall be applied to all temperature-based tenability conclusions.</w:t>
      </w:r>
    </w:p>
    <w:p>
      <w:pPr>
        <w:pStyle w:val="Heading1"/>
        <w:spacing w:after="120" w:before="240"/>
      </w:pPr>
      <w:r>
        <w:t xml:space="preserve">6  Design Fire Scenarios</w:t>
      </w:r>
    </w:p>
    <w:p>
      <w:pPr>
        <w:spacing w:after="120" w:line="276"/>
        <w:jc w:val="both"/>
      </w:pPr>
      <w:r>
        <w:t xml:space="preserve">Four design fire sizes are adopted, anchored to specific instrumented MTFVTP fire tests so that each simulated fire has a measured counterpart for validation. For each test, the fire is modelled at the minimum, average and maximum measured heat release rate (HRR) observed during the quasi-steady-state period, reflecting the real variability of the pool fires.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1700"/>
        <w:gridCol w:w="1700"/>
        <w:gridCol w:w="1600"/>
      </w:tblGrid>
      <w:tr>
        <w:trPr>
          <w:tblHeader/>
        </w:trPr>
        <w:tc>
          <w:tcPr>
            <w:tcW w:type="dxa" w:w="1500"/>
            <w:shd w:fill="1F4E5F" w:color="auto" w:val="clear"/>
            <w:tcMar>
              <w:top w:type="dxa" w:w="40"/>
              <w:left w:type="dxa" w:w="90"/>
              <w:bottom w:type="dxa" w:w="40"/>
              <w:right w:type="dxa" w:w="90"/>
            </w:tcMar>
          </w:tcPr>
          <w:p>
            <w:pPr>
              <w:spacing w:after="0" w:line="240"/>
            </w:pPr>
            <w:r>
              <w:rPr>
                <w:b/>
                <w:bCs/>
                <w:color w:val="FFFFFF"/>
                <w:sz w:val="18"/>
                <w:szCs w:val="18"/>
              </w:rPr>
              <w:t xml:space="preserve">Ref. Test</w:t>
            </w:r>
          </w:p>
        </w:tc>
        <w:tc>
          <w:tcPr>
            <w:tcW w:type="dxa" w:w="1400"/>
            <w:shd w:fill="1F4E5F" w:color="auto" w:val="clear"/>
            <w:tcMar>
              <w:top w:type="dxa" w:w="40"/>
              <w:left w:type="dxa" w:w="90"/>
              <w:bottom w:type="dxa" w:w="40"/>
              <w:right w:type="dxa" w:w="90"/>
            </w:tcMar>
          </w:tcPr>
          <w:p>
            <w:pPr>
              <w:spacing w:after="0" w:line="240"/>
            </w:pPr>
            <w:r>
              <w:rPr>
                <w:b/>
                <w:bCs/>
                <w:color w:val="FFFFFF"/>
                <w:sz w:val="18"/>
                <w:szCs w:val="18"/>
              </w:rPr>
              <w:t xml:space="preserve">Nominal size</w:t>
            </w:r>
          </w:p>
        </w:tc>
        <w:tc>
          <w:tcPr>
            <w:tcW w:type="dxa" w:w="1700"/>
            <w:shd w:fill="1F4E5F" w:color="auto" w:val="clear"/>
            <w:tcMar>
              <w:top w:type="dxa" w:w="40"/>
              <w:left w:type="dxa" w:w="90"/>
              <w:bottom w:type="dxa" w:w="40"/>
              <w:right w:type="dxa" w:w="90"/>
            </w:tcMar>
          </w:tcPr>
          <w:p>
            <w:pPr>
              <w:spacing w:after="0" w:line="240"/>
            </w:pPr>
            <w:r>
              <w:rPr>
                <w:b/>
                <w:bCs/>
                <w:color w:val="FFFFFF"/>
                <w:sz w:val="18"/>
                <w:szCs w:val="18"/>
              </w:rPr>
              <w:t xml:space="preserve">MIN HRR (kW)</w:t>
            </w:r>
          </w:p>
        </w:tc>
        <w:tc>
          <w:tcPr>
            <w:tcW w:type="dxa" w:w="1700"/>
            <w:shd w:fill="1F4E5F" w:color="auto" w:val="clear"/>
            <w:tcMar>
              <w:top w:type="dxa" w:w="40"/>
              <w:left w:type="dxa" w:w="90"/>
              <w:bottom w:type="dxa" w:w="40"/>
              <w:right w:type="dxa" w:w="90"/>
            </w:tcMar>
          </w:tcPr>
          <w:p>
            <w:pPr>
              <w:spacing w:after="0" w:line="240"/>
            </w:pPr>
            <w:r>
              <w:rPr>
                <w:b/>
                <w:bCs/>
                <w:color w:val="FFFFFF"/>
                <w:sz w:val="18"/>
                <w:szCs w:val="18"/>
              </w:rPr>
              <w:t xml:space="preserve">AVE HRR (kW)</w:t>
            </w:r>
          </w:p>
        </w:tc>
        <w:tc>
          <w:tcPr>
            <w:tcW w:type="dxa" w:w="1700"/>
            <w:shd w:fill="1F4E5F" w:color="auto" w:val="clear"/>
            <w:tcMar>
              <w:top w:type="dxa" w:w="40"/>
              <w:left w:type="dxa" w:w="90"/>
              <w:bottom w:type="dxa" w:w="40"/>
              <w:right w:type="dxa" w:w="90"/>
            </w:tcMar>
          </w:tcPr>
          <w:p>
            <w:pPr>
              <w:spacing w:after="0" w:line="240"/>
            </w:pPr>
            <w:r>
              <w:rPr>
                <w:b/>
                <w:bCs/>
                <w:color w:val="FFFFFF"/>
                <w:sz w:val="18"/>
                <w:szCs w:val="18"/>
              </w:rPr>
              <w:t xml:space="preserve">MAX HRR (kW)</w:t>
            </w:r>
          </w:p>
        </w:tc>
        <w:tc>
          <w:tcPr>
            <w:tcW w:type="dxa" w:w="1600"/>
            <w:shd w:fill="1F4E5F" w:color="auto" w:val="clear"/>
            <w:tcMar>
              <w:top w:type="dxa" w:w="40"/>
              <w:left w:type="dxa" w:w="90"/>
              <w:bottom w:type="dxa" w:w="40"/>
              <w:right w:type="dxa" w:w="90"/>
            </w:tcMar>
          </w:tcPr>
          <w:p>
            <w:pPr>
              <w:spacing w:after="0" w:line="240"/>
            </w:pPr>
            <w:r>
              <w:rPr>
                <w:b/>
                <w:bCs/>
                <w:color w:val="FFFFFF"/>
                <w:sz w:val="18"/>
                <w:szCs w:val="18"/>
              </w:rPr>
              <w:t xml:space="preserve">Fans operating</w:t>
            </w:r>
          </w:p>
        </w:tc>
      </w:tr>
      <w:tr>
        <w:trPr>
          <w:tblHeader w:val="false"/>
        </w:trPr>
        <w:tc>
          <w:tcPr>
            <w:tcW w:type="dxa" w:w="1500"/>
            <w:tcMar>
              <w:top w:type="dxa" w:w="40"/>
              <w:left w:type="dxa" w:w="90"/>
              <w:bottom w:type="dxa" w:w="40"/>
              <w:right w:type="dxa" w:w="90"/>
            </w:tcMar>
          </w:tcPr>
          <w:p>
            <w:pPr>
              <w:spacing w:after="0" w:line="240"/>
            </w:pPr>
            <w:r>
              <w:rPr>
                <w:b w:val="false"/>
                <w:bCs w:val="false"/>
                <w:color w:val="000000"/>
                <w:sz w:val="18"/>
                <w:szCs w:val="18"/>
              </w:rPr>
              <w:t xml:space="preserve">Test 606A</w:t>
            </w:r>
          </w:p>
        </w:tc>
        <w:tc>
          <w:tcPr>
            <w:tcW w:type="dxa" w:w="1400"/>
            <w:tcMar>
              <w:top w:type="dxa" w:w="40"/>
              <w:left w:type="dxa" w:w="90"/>
              <w:bottom w:type="dxa" w:w="40"/>
              <w:right w:type="dxa" w:w="90"/>
            </w:tcMar>
          </w:tcPr>
          <w:p>
            <w:pPr>
              <w:spacing w:after="0" w:line="240"/>
            </w:pPr>
            <w:r>
              <w:rPr>
                <w:b w:val="false"/>
                <w:bCs w:val="false"/>
                <w:color w:val="000000"/>
                <w:sz w:val="18"/>
                <w:szCs w:val="18"/>
              </w:rPr>
              <w:t xml:space="preserve">10 MW</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8,657</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10,445</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12,918</w:t>
            </w:r>
          </w:p>
        </w:tc>
        <w:tc>
          <w:tcPr>
            <w:tcW w:type="dxa" w:w="1600"/>
            <w:tcMar>
              <w:top w:type="dxa" w:w="40"/>
              <w:left w:type="dxa" w:w="90"/>
              <w:bottom w:type="dxa" w:w="40"/>
              <w:right w:type="dxa" w:w="90"/>
            </w:tcMar>
          </w:tcPr>
          <w:p>
            <w:pPr>
              <w:spacing w:after="0" w:line="240"/>
            </w:pPr>
            <w:r>
              <w:rPr>
                <w:b w:val="false"/>
                <w:bCs w:val="false"/>
                <w:color w:val="000000"/>
                <w:sz w:val="18"/>
                <w:szCs w:val="18"/>
              </w:rPr>
              <w:t xml:space="preserve">2 (Fans 3, 6)</w:t>
            </w:r>
          </w:p>
        </w:tc>
      </w:tr>
      <w:tr>
        <w:trPr>
          <w:tblHeader w:val="false"/>
        </w:trPr>
        <w:tc>
          <w:tcPr>
            <w:tcW w:type="dxa" w:w="1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Test 607</w:t>
            </w:r>
          </w:p>
        </w:tc>
        <w:tc>
          <w:tcPr>
            <w:tcW w:type="dxa" w:w="1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20 MW</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12,460</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14,138</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15,208</w:t>
            </w:r>
          </w:p>
        </w:tc>
        <w:tc>
          <w:tcPr>
            <w:tcW w:type="dxa" w:w="1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 (Fans 13–15)</w:t>
            </w:r>
          </w:p>
        </w:tc>
      </w:tr>
      <w:tr>
        <w:trPr>
          <w:tblHeader w:val="false"/>
        </w:trPr>
        <w:tc>
          <w:tcPr>
            <w:tcW w:type="dxa" w:w="1500"/>
            <w:tcMar>
              <w:top w:type="dxa" w:w="40"/>
              <w:left w:type="dxa" w:w="90"/>
              <w:bottom w:type="dxa" w:w="40"/>
              <w:right w:type="dxa" w:w="90"/>
            </w:tcMar>
          </w:tcPr>
          <w:p>
            <w:pPr>
              <w:spacing w:after="0" w:line="240"/>
            </w:pPr>
            <w:r>
              <w:rPr>
                <w:b w:val="false"/>
                <w:bCs w:val="false"/>
                <w:color w:val="000000"/>
                <w:sz w:val="18"/>
                <w:szCs w:val="18"/>
              </w:rPr>
              <w:t xml:space="preserve">Test 611</w:t>
            </w:r>
          </w:p>
        </w:tc>
        <w:tc>
          <w:tcPr>
            <w:tcW w:type="dxa" w:w="1400"/>
            <w:tcMar>
              <w:top w:type="dxa" w:w="40"/>
              <w:left w:type="dxa" w:w="90"/>
              <w:bottom w:type="dxa" w:w="40"/>
              <w:right w:type="dxa" w:w="90"/>
            </w:tcMar>
          </w:tcPr>
          <w:p>
            <w:pPr>
              <w:spacing w:after="0" w:line="240"/>
            </w:pPr>
            <w:r>
              <w:rPr>
                <w:b w:val="false"/>
                <w:bCs w:val="false"/>
                <w:color w:val="000000"/>
                <w:sz w:val="18"/>
                <w:szCs w:val="18"/>
              </w:rPr>
              <w:t xml:space="preserve">50 MW</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35,677</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49,202</w:t>
            </w:r>
          </w:p>
        </w:tc>
        <w:tc>
          <w:tcPr>
            <w:tcW w:type="dxa" w:w="1700"/>
            <w:tcMar>
              <w:top w:type="dxa" w:w="40"/>
              <w:left w:type="dxa" w:w="90"/>
              <w:bottom w:type="dxa" w:w="40"/>
              <w:right w:type="dxa" w:w="90"/>
            </w:tcMar>
          </w:tcPr>
          <w:p>
            <w:pPr>
              <w:spacing w:after="0" w:line="240"/>
            </w:pPr>
            <w:r>
              <w:rPr>
                <w:b w:val="false"/>
                <w:bCs w:val="false"/>
                <w:color w:val="000000"/>
                <w:sz w:val="18"/>
                <w:szCs w:val="18"/>
              </w:rPr>
              <w:t xml:space="preserve">82,439</w:t>
            </w:r>
          </w:p>
        </w:tc>
        <w:tc>
          <w:tcPr>
            <w:tcW w:type="dxa" w:w="1600"/>
            <w:tcMar>
              <w:top w:type="dxa" w:w="40"/>
              <w:left w:type="dxa" w:w="90"/>
              <w:bottom w:type="dxa" w:w="40"/>
              <w:right w:type="dxa" w:w="90"/>
            </w:tcMar>
          </w:tcPr>
          <w:p>
            <w:pPr>
              <w:spacing w:after="0" w:line="240"/>
            </w:pPr>
            <w:r>
              <w:rPr>
                <w:b w:val="false"/>
                <w:bCs w:val="false"/>
                <w:color w:val="000000"/>
                <w:sz w:val="18"/>
                <w:szCs w:val="18"/>
              </w:rPr>
              <w:t xml:space="preserve">5 (grouped)</w:t>
            </w:r>
          </w:p>
        </w:tc>
      </w:tr>
      <w:tr>
        <w:trPr>
          <w:tblHeader w:val="false"/>
        </w:trPr>
        <w:tc>
          <w:tcPr>
            <w:tcW w:type="dxa" w:w="1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Test 615B</w:t>
            </w:r>
          </w:p>
        </w:tc>
        <w:tc>
          <w:tcPr>
            <w:tcW w:type="dxa" w:w="1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100 MW</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88,435</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102,659</w:t>
            </w:r>
          </w:p>
        </w:tc>
        <w:tc>
          <w:tcPr>
            <w:tcW w:type="dxa" w:w="1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113,492</w:t>
            </w:r>
          </w:p>
        </w:tc>
        <w:tc>
          <w:tcPr>
            <w:tcW w:type="dxa" w:w="1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6 (Fans 1,3,4,6,7,9)</w:t>
            </w:r>
          </w:p>
        </w:tc>
      </w:tr>
    </w:tbl>
    <w:p>
      <w:pPr>
        <w:spacing w:after="120" w:line="276"/>
        <w:jc w:val="both"/>
      </w:pPr>
      <w:r>
        <w:t xml:space="preserve">The 100 MW case (Test 615B) represents the severe design fire (heavy goods vehicle / bus-class). The 10 MW and 20 MW cases represent passenger-vehicle and small-commercial fires. Simulating the full range establishes the fan count required as a function of fire size and demonstrates the smoke-control envelope of the system.</w:t>
      </w:r>
    </w:p>
    <w:p>
      <w:pPr>
        <w:pStyle w:val="Heading2"/>
        <w:spacing w:after="120" w:before="240"/>
      </w:pPr>
      <w:r>
        <w:t xml:space="preserve">6.1  Fire Modelling Approach in SES</w:t>
      </w:r>
    </w:p>
    <w:p>
      <w:pPr>
        <w:spacing w:after="120" w:line="276"/>
        <w:jc w:val="both"/>
      </w:pPr>
      <w:r>
        <w:t xml:space="preserve">Each fire is represented in SES as a steady heat source applied to the subsegment at the fire location, with the sensible heat fraction added to the tunnel air and the balance radiated to the walls. The fire location is held constant across the fire tests, consistent with the reference program. HRR is held constant within each run (SES limitation); HRR variability is captured by running the MIN / AVE / MAX bracket rather than a transient curve.</w:t>
      </w:r>
    </w:p>
    <w:p>
      <w:pPr>
        <w:pStyle w:val="Heading1"/>
        <w:spacing w:after="120" w:before="240"/>
      </w:pPr>
      <w:r>
        <w:t xml:space="preserve">7  Ambient Conditions, Boundary Conditions &amp; Heat Sink</w:t>
      </w:r>
    </w:p>
    <w:p>
      <w:pPr>
        <w:pStyle w:val="Heading2"/>
        <w:spacing w:after="120" w:before="240"/>
      </w:pPr>
      <w:r>
        <w:t xml:space="preserve">7.1  Ambient Conditions</w:t>
      </w:r>
    </w:p>
    <w:p>
      <w:pPr>
        <w:spacing w:after="120" w:line="276"/>
        <w:jc w:val="both"/>
      </w:pPr>
      <w:r>
        <w:t xml:space="preserve">Ambient (dry-bulb), wet-bulb and wall-surface temperatures are set per test to match the measured conditions on the day of each experiment. These are cold-season conditions and materially affect buoyancy and air density.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Test</w:t>
            </w:r>
          </w:p>
        </w:tc>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Dry-bulb (°C)</w:t>
            </w:r>
          </w:p>
        </w:tc>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Wet-bulb (°C)</w:t>
            </w:r>
          </w:p>
        </w:tc>
        <w:tc>
          <w:tcPr>
            <w:tcW w:type="dxa" w:w="2400"/>
            <w:shd w:fill="1F4E5F" w:color="auto" w:val="clear"/>
            <w:tcMar>
              <w:top w:type="dxa" w:w="40"/>
              <w:left w:type="dxa" w:w="90"/>
              <w:bottom w:type="dxa" w:w="40"/>
              <w:right w:type="dxa" w:w="90"/>
            </w:tcMar>
          </w:tcPr>
          <w:p>
            <w:pPr>
              <w:spacing w:after="0" w:line="240"/>
            </w:pPr>
            <w:r>
              <w:rPr>
                <w:b/>
                <w:bCs/>
                <w:color w:val="FFFFFF"/>
                <w:sz w:val="18"/>
                <w:szCs w:val="18"/>
              </w:rPr>
              <w:t xml:space="preserve">Wall surface (°C)</w:t>
            </w:r>
          </w:p>
        </w:tc>
      </w:tr>
      <w:tr>
        <w:trPr>
          <w:tblHeader w:val="false"/>
        </w:trPr>
        <w:tc>
          <w:tcPr>
            <w:tcW w:type="dxa" w:w="2400"/>
            <w:tcMar>
              <w:top w:type="dxa" w:w="40"/>
              <w:left w:type="dxa" w:w="90"/>
              <w:bottom w:type="dxa" w:w="40"/>
              <w:right w:type="dxa" w:w="90"/>
            </w:tcMar>
          </w:tcPr>
          <w:p>
            <w:pPr>
              <w:spacing w:after="0" w:line="240"/>
            </w:pPr>
            <w:r>
              <w:rPr>
                <w:b w:val="false"/>
                <w:bCs w:val="false"/>
                <w:color w:val="000000"/>
                <w:sz w:val="18"/>
                <w:szCs w:val="18"/>
              </w:rPr>
              <w:t xml:space="preserve">606A</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2.8</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-2.2</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6.6</w:t>
            </w:r>
          </w:p>
        </w:tc>
      </w:tr>
      <w:tr>
        <w:trPr>
          <w:tblHeader w:val="false"/>
        </w:trPr>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607</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8.7</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3.7</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8.7</w:t>
            </w:r>
          </w:p>
        </w:tc>
      </w:tr>
      <w:tr>
        <w:trPr>
          <w:tblHeader w:val="false"/>
        </w:trPr>
        <w:tc>
          <w:tcPr>
            <w:tcW w:type="dxa" w:w="2400"/>
            <w:tcMar>
              <w:top w:type="dxa" w:w="40"/>
              <w:left w:type="dxa" w:w="90"/>
              <w:bottom w:type="dxa" w:w="40"/>
              <w:right w:type="dxa" w:w="90"/>
            </w:tcMar>
          </w:tcPr>
          <w:p>
            <w:pPr>
              <w:spacing w:after="0" w:line="240"/>
            </w:pPr>
            <w:r>
              <w:rPr>
                <w:b w:val="false"/>
                <w:bCs w:val="false"/>
                <w:color w:val="000000"/>
                <w:sz w:val="18"/>
                <w:szCs w:val="18"/>
              </w:rPr>
              <w:t xml:space="preserve">611</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9.2</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4.2</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9.2</w:t>
            </w:r>
          </w:p>
        </w:tc>
      </w:tr>
      <w:tr>
        <w:trPr>
          <w:tblHeader w:val="false"/>
        </w:trPr>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615B</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5.0</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0.0</w:t>
            </w:r>
          </w:p>
        </w:tc>
        <w:tc>
          <w:tcPr>
            <w:tcW w:type="dxa" w:w="2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11.0</w:t>
            </w:r>
          </w:p>
        </w:tc>
      </w:tr>
      <w:tr>
        <w:trPr>
          <w:tblHeader w:val="false"/>
        </w:trPr>
        <w:tc>
          <w:tcPr>
            <w:tcW w:type="dxa" w:w="2400"/>
            <w:tcMar>
              <w:top w:type="dxa" w:w="40"/>
              <w:left w:type="dxa" w:w="90"/>
              <w:bottom w:type="dxa" w:w="40"/>
              <w:right w:type="dxa" w:w="90"/>
            </w:tcMar>
          </w:tcPr>
          <w:p>
            <w:pPr>
              <w:spacing w:after="0" w:line="240"/>
            </w:pPr>
            <w:r>
              <w:rPr>
                <w:b w:val="false"/>
                <w:bCs w:val="false"/>
                <w:color w:val="000000"/>
                <w:sz w:val="18"/>
                <w:szCs w:val="18"/>
              </w:rPr>
              <w:t xml:space="preserve">Cold-flow</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20.0</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15.0</w:t>
            </w:r>
          </w:p>
        </w:tc>
        <w:tc>
          <w:tcPr>
            <w:tcW w:type="dxa" w:w="2400"/>
            <w:tcMar>
              <w:top w:type="dxa" w:w="40"/>
              <w:left w:type="dxa" w:w="90"/>
              <w:bottom w:type="dxa" w:w="40"/>
              <w:right w:type="dxa" w:w="90"/>
            </w:tcMar>
          </w:tcPr>
          <w:p>
            <w:pPr>
              <w:spacing w:after="0" w:line="240"/>
            </w:pPr>
            <w:r>
              <w:rPr>
                <w:b w:val="false"/>
                <w:bCs w:val="false"/>
                <w:color w:val="000000"/>
                <w:sz w:val="18"/>
                <w:szCs w:val="18"/>
              </w:rPr>
              <w:t xml:space="preserve">20.0</w:t>
            </w:r>
          </w:p>
        </w:tc>
      </w:tr>
    </w:tbl>
    <w:p>
      <w:pPr>
        <w:pStyle w:val="Heading2"/>
        <w:spacing w:after="120" w:before="240"/>
      </w:pPr>
      <w:r>
        <w:t xml:space="preserve">7.2  Portal / Wind Boundary Conditions</w:t>
      </w:r>
    </w:p>
    <w:p>
      <w:pPr>
        <w:spacing w:after="120" w:line="276"/>
        <w:jc w:val="both"/>
      </w:pPr>
      <w:r>
        <w:t xml:space="preserve">A naturally-occurring south-to-north airflow driven by wind was present in the tests, ranging from approximately 40 to 49 m³/s. This is reproduced in SES by an impulse fan at the south portal directed toward the north portal, tuned per test to match the measured ambient bulk flow (e.g. 40.3 m³/s modelled vs 40 m³/s measured in Test 615B). Portals are otherwise open to atmosphere.</w:t>
      </w:r>
    </w:p>
    <w:p>
      <w:pPr>
        <w:pStyle w:val="Heading2"/>
        <w:spacing w:after="120" w:before="240"/>
      </w:pPr>
      <w:r>
        <w:t xml:space="preserve">7.3  Cold-Flow Characterisation</w:t>
      </w:r>
    </w:p>
    <w:p>
      <w:pPr>
        <w:spacing w:after="120" w:line="276"/>
        <w:jc w:val="both"/>
      </w:pPr>
      <w:r>
        <w:t xml:space="preserve">Prior to fire runs, a series of fan-only cold-flow cases (1 to 15 operating jet fans, no fire) is modelled to characterise the pure aerodynamic response of the tunnel and to confirm the friction factor, K-losses and jet-fan efficiency against measured flow-versus-fan-count data. This calibrates the model before any fire is introduced.</w:t>
      </w:r>
    </w:p>
    <w:p>
      <w:pPr>
        <w:pStyle w:val="Heading2"/>
        <w:spacing w:after="120" w:before="240"/>
      </w:pPr>
      <w:r>
        <w:t xml:space="preserve">7.4  Long-Term Heat Sink Analysis (Deliverable D5)</w:t>
      </w:r>
    </w:p>
    <w:p>
      <w:pPr>
        <w:spacing w:after="120" w:line="276"/>
        <w:jc w:val="both"/>
      </w:pPr>
      <w:r>
        <w:t xml:space="preserve">SES incorporates a heat-sink routine that models transient heat exchange between the tunnel air and the surrounding ground/lining over long periods. For an operational tunnel this is run over multiple years (typically covering the hottest design week after several years of accumulated thermal loading) to establish the equilibrium wall and ground temperatures. Those equilibrium temperatures become the initial wall-temperature boundary condition for the emergency (fire) runs, because the wall acts as a heat sink that moderates air temperature during a fire.</w:t>
      </w:r>
    </w:p>
    <w:p>
      <w:pPr>
        <w:spacing w:after="120" w:line="276"/>
        <w:jc w:val="both"/>
      </w:pPr>
      <w:r>
        <w:t xml:space="preserve">For this reference project the wall-surface temperatures are short-duration test-day values (Table §7.1); the long-term heat-sink build-up is therefore performed as a demonstration deliverable to establish the workflow and to show how equilibrium wall temperatures would be generated and fed forward for an operational design. The heat-sink parameters (ground thermal conductivity, diffusivity, and the annual/diurnal temperature schedule) are documented in D5.</w:t>
      </w:r>
    </w:p>
    <w:p>
      <w:pPr>
        <w:pStyle w:val="Heading1"/>
        <w:spacing w:after="120" w:before="240"/>
      </w:pPr>
      <w:r>
        <w:t xml:space="preserve">8  Simulation Matrix (Deliverable D4)</w:t>
      </w:r>
    </w:p>
    <w:p>
      <w:pPr>
        <w:spacing w:after="120" w:line="276"/>
        <w:jc w:val="both"/>
      </w:pPr>
      <w:r>
        <w:t xml:space="preserve">The following run matrix defines the complete set of SES simulations. Cold-flow cases calibrate the model; fire cases validate it and establish the design envelope. Each fire case is run at MIN/AVE/MAX HRR and at 75%/83% fan efficiency.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Group</w:t>
            </w:r>
          </w:p>
        </w:tc>
        <w:tc>
          <w:tcPr>
            <w:tcW w:type="dxa" w:w="4200"/>
            <w:shd w:fill="1F4E5F" w:color="auto" w:val="clear"/>
            <w:tcMar>
              <w:top w:type="dxa" w:w="40"/>
              <w:left w:type="dxa" w:w="90"/>
              <w:bottom w:type="dxa" w:w="40"/>
              <w:right w:type="dxa" w:w="90"/>
            </w:tcMar>
          </w:tcPr>
          <w:p>
            <w:pPr>
              <w:spacing w:after="0" w:line="240"/>
            </w:pPr>
            <w:r>
              <w:rPr>
                <w:b/>
                <w:bCs/>
                <w:color w:val="FFFFFF"/>
                <w:sz w:val="18"/>
                <w:szCs w:val="18"/>
              </w:rPr>
              <w:t xml:space="preserve">Cases</w:t>
            </w:r>
          </w:p>
        </w:tc>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Purpose</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Cold-flow</w:t>
            </w:r>
          </w:p>
        </w:tc>
        <w:tc>
          <w:tcPr>
            <w:tcW w:type="dxa" w:w="4200"/>
            <w:tcMar>
              <w:top w:type="dxa" w:w="40"/>
              <w:left w:type="dxa" w:w="90"/>
              <w:bottom w:type="dxa" w:w="40"/>
              <w:right w:type="dxa" w:w="90"/>
            </w:tcMar>
          </w:tcPr>
          <w:p>
            <w:pPr>
              <w:spacing w:after="0" w:line="240"/>
            </w:pPr>
            <w:r>
              <w:rPr>
                <w:b w:val="false"/>
                <w:bCs w:val="false"/>
                <w:color w:val="000000"/>
                <w:sz w:val="18"/>
                <w:szCs w:val="18"/>
              </w:rPr>
              <w:t xml:space="preserve">15 (1–15 fans), ×2 efficiencies</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Aerodynamic calibration</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Test 606A (10 MW)</w:t>
            </w:r>
          </w:p>
        </w:tc>
        <w:tc>
          <w:tcPr>
            <w:tcW w:type="dxa" w:w="4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wind + fire (MIN/AVE/MAX × 75/83%)</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Validation, small fire</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Test 607 (20 MW)</w:t>
            </w:r>
          </w:p>
        </w:tc>
        <w:tc>
          <w:tcPr>
            <w:tcW w:type="dxa" w:w="4200"/>
            <w:tcMar>
              <w:top w:type="dxa" w:w="40"/>
              <w:left w:type="dxa" w:w="90"/>
              <w:bottom w:type="dxa" w:w="40"/>
              <w:right w:type="dxa" w:w="90"/>
            </w:tcMar>
          </w:tcPr>
          <w:p>
            <w:pPr>
              <w:spacing w:after="0" w:line="240"/>
            </w:pPr>
            <w:r>
              <w:rPr>
                <w:b w:val="false"/>
                <w:bCs w:val="false"/>
                <w:color w:val="000000"/>
                <w:sz w:val="18"/>
                <w:szCs w:val="18"/>
              </w:rPr>
              <w:t xml:space="preserve">wind + fire (MIN/AVE/MAX × 75/83%)</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Validation</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Test 611 (50 MW)</w:t>
            </w:r>
          </w:p>
        </w:tc>
        <w:tc>
          <w:tcPr>
            <w:tcW w:type="dxa" w:w="4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wind + fire (MIN/AVE/MAX × 75/83%)</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Validation, large fire</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Test 615B (100 MW)</w:t>
            </w:r>
          </w:p>
        </w:tc>
        <w:tc>
          <w:tcPr>
            <w:tcW w:type="dxa" w:w="4200"/>
            <w:tcMar>
              <w:top w:type="dxa" w:w="40"/>
              <w:left w:type="dxa" w:w="90"/>
              <w:bottom w:type="dxa" w:w="40"/>
              <w:right w:type="dxa" w:w="90"/>
            </w:tcMar>
          </w:tcPr>
          <w:p>
            <w:pPr>
              <w:spacing w:after="0" w:line="240"/>
            </w:pPr>
            <w:r>
              <w:rPr>
                <w:b w:val="false"/>
                <w:bCs w:val="false"/>
                <w:color w:val="000000"/>
                <w:sz w:val="18"/>
                <w:szCs w:val="18"/>
              </w:rPr>
              <w:t xml:space="preserve">wind + fire (MIN/AVE/MAX × 75/83%)</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Validation, severe design fire</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Fan-failure sweeps</w:t>
            </w:r>
          </w:p>
        </w:tc>
        <w:tc>
          <w:tcPr>
            <w:tcW w:type="dxa" w:w="4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Design fires with N-1 / N-2 fans</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Emergency contingency design</w:t>
            </w:r>
          </w:p>
        </w:tc>
      </w:tr>
    </w:tbl>
    <w:p>
      <w:pPr>
        <w:spacing w:after="120" w:line="276"/>
        <w:jc w:val="both"/>
      </w:pPr>
      <w:r>
        <w:t xml:space="preserve">The fan-failure sweeps extend beyond the original test program: they determine the minimum number of operable jet fans needed to hold critical velocity for each design fire, which directly produces the Emergency Ventilation Response / Fan Operating Matrix (Deliverable D8).</w:t>
      </w:r>
    </w:p>
    <w:p>
      <w:pPr>
        <w:pStyle w:val="Heading1"/>
        <w:spacing w:after="120" w:before="240"/>
      </w:pPr>
      <w:r>
        <w:t xml:space="preserve">9  Analysis Outputs &amp; Post-Processing</w:t>
      </w:r>
    </w:p>
    <w:p>
      <w:pPr>
        <w:spacing w:after="120" w:line="276"/>
        <w:jc w:val="both"/>
      </w:pPr>
      <w:r>
        <w:t xml:space="preserve">For every run, SES produces a fixed-width .PRN output file reporting airflow, air velocity, temperature and pressure at each segment and time step. Post-processing (Deliverable D7) shall:</w:t>
      </w:r>
    </w:p>
    <w:p>
      <w:pPr>
        <w:pStyle w:val="ListParagraph"/>
        <w:numPr>
          <w:ilvl w:val="0"/>
          <w:numId w:val="1"/>
        </w:numPr>
        <w:spacing w:after="60" w:line="264"/>
      </w:pPr>
      <w:r>
        <w:t xml:space="preserve">Parse each .PRN into structured tabular data (one row per segment per output time).</w:t>
      </w:r>
    </w:p>
    <w:p>
      <w:pPr>
        <w:pStyle w:val="ListParagraph"/>
        <w:numPr>
          <w:ilvl w:val="0"/>
          <w:numId w:val="1"/>
        </w:numPr>
        <w:spacing w:after="60" w:line="264"/>
      </w:pPr>
      <w:r>
        <w:t xml:space="preserve">Extract quasi-steady-state upstream and downstream airflow and temperature for comparison against measured loop data.</w:t>
      </w:r>
    </w:p>
    <w:p>
      <w:pPr>
        <w:pStyle w:val="ListParagraph"/>
        <w:numPr>
          <w:ilvl w:val="0"/>
          <w:numId w:val="1"/>
        </w:numPr>
        <w:spacing w:after="60" w:line="264"/>
      </w:pPr>
      <w:r>
        <w:t xml:space="preserve">Compute error and percentage error (SES vs measured) for cold-flow rate, upstream/downstream flow and upstream/downstream temperature.</w:t>
      </w:r>
    </w:p>
    <w:p>
      <w:pPr>
        <w:pStyle w:val="ListParagraph"/>
        <w:numPr>
          <w:ilvl w:val="0"/>
          <w:numId w:val="1"/>
        </w:numPr>
        <w:spacing w:after="60" w:line="264"/>
      </w:pPr>
      <w:r>
        <w:t xml:space="preserve">Generate scenario-comparison tables, a tenability dashboard, and longitudinal profile charts.</w:t>
      </w:r>
    </w:p>
    <w:p>
      <w:pPr>
        <w:pStyle w:val="ListParagraph"/>
        <w:numPr>
          <w:ilvl w:val="0"/>
          <w:numId w:val="1"/>
        </w:numPr>
        <w:spacing w:after="60" w:line="264"/>
      </w:pPr>
      <w:r>
        <w:t xml:space="preserve">Automate the above via Excel + VBA so that a new .PRN can be dropped in and processed with a single command.</w:t>
      </w:r>
    </w:p>
    <w:p>
      <w:pPr>
        <w:spacing w:after="120" w:line="276"/>
        <w:jc w:val="both"/>
      </w:pPr>
      <w:r>
        <w:t xml:space="preserve">The validation metrics (mean error, standard deviation, R²) reported in D6 become the quantified safety margins carried into the design recommendations in the Final Engineering Report (D9).</w:t>
      </w:r>
    </w:p>
    <w:p>
      <w:pPr>
        <w:pStyle w:val="Heading1"/>
        <w:spacing w:after="120" w:before="240"/>
      </w:pPr>
      <w:r>
        <w:t xml:space="preserve">10  Key Assumptions &amp; Limitations</w:t>
      </w:r>
    </w:p>
    <w:p>
      <w:pPr>
        <w:pStyle w:val="ListParagraph"/>
        <w:numPr>
          <w:ilvl w:val="0"/>
          <w:numId w:val="1"/>
        </w:numPr>
        <w:spacing w:after="60" w:line="264"/>
      </w:pPr>
      <w:r>
        <w:t xml:space="preserve">SES is a 1-D, incompressible, turbulent slug-flow network model. It predicts cross-section-average quantities only; it does not resolve stratification, backlayering length, or local visibility.</w:t>
      </w:r>
    </w:p>
    <w:p>
      <w:pPr>
        <w:pStyle w:val="ListParagraph"/>
        <w:numPr>
          <w:ilvl w:val="0"/>
          <w:numId w:val="1"/>
        </w:numPr>
        <w:spacing w:after="60" w:line="264"/>
      </w:pPr>
      <w:r>
        <w:t xml:space="preserve">Flame temperature is capped at 1093.3 °C in SES; actual test flame temperatures reached ~1510–1566 °C. Near-fire and downstream temperatures may be under-predicted.</w:t>
      </w:r>
    </w:p>
    <w:p>
      <w:pPr>
        <w:pStyle w:val="ListParagraph"/>
        <w:numPr>
          <w:ilvl w:val="0"/>
          <w:numId w:val="1"/>
        </w:numPr>
        <w:spacing w:after="60" w:line="264"/>
      </w:pPr>
      <w:r>
        <w:t xml:space="preserve">No heat transfer from the fire to the upstream tunnel section is modelled; upstream temperature predictions reflect ambient/wall conditions and will under-predict where radiation or transient backlayering occurred in tests.</w:t>
      </w:r>
    </w:p>
    <w:p>
      <w:pPr>
        <w:pStyle w:val="ListParagraph"/>
        <w:numPr>
          <w:ilvl w:val="0"/>
          <w:numId w:val="1"/>
        </w:numPr>
        <w:spacing w:after="60" w:line="264"/>
      </w:pPr>
      <w:r>
        <w:t xml:space="preserve">HRR is constant within a run; real HRR fluctuated, addressed via the MIN/AVE/MAX bracket.</w:t>
      </w:r>
    </w:p>
    <w:p>
      <w:pPr>
        <w:pStyle w:val="ListParagraph"/>
        <w:numPr>
          <w:ilvl w:val="0"/>
          <w:numId w:val="1"/>
        </w:numPr>
        <w:spacing w:after="60" w:line="264"/>
      </w:pPr>
      <w:r>
        <w:t xml:space="preserve">Jet-fan efficiency is constant within a run; real efficiency falls toward 75% at high fan counts, addressed via the 75%/83% bracket.</w:t>
      </w:r>
    </w:p>
    <w:p>
      <w:pPr>
        <w:pStyle w:val="ListParagraph"/>
        <w:numPr>
          <w:ilvl w:val="0"/>
          <w:numId w:val="1"/>
        </w:numPr>
        <w:spacing w:after="60" w:line="264"/>
      </w:pPr>
      <w:r>
        <w:t xml:space="preserve">A conservative safety margin based on quantified validation error (D6) shall be applied before any tenability pass/fail conclusion is finalised.</w:t>
      </w:r>
    </w:p>
    <w:p>
      <w:pPr>
        <w:spacing w:before="240"/>
        <w:jc w:val="center"/>
      </w:pPr>
      <w:r>
        <w:rPr>
          <w:i/>
          <w:iCs/>
          <w:color w:val="555555"/>
        </w:rPr>
        <w:t xml:space="preserve">— End of Design Basis Report (Rev A)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Synoptic CFD — Confidential</w:t>
    </w:r>
    <w:r>
      <w:rPr>
        <w:color w:val="555555"/>
        <w:sz w:val="15"/>
        <w:szCs w:val="15"/>
      </w:rPr>
      <w:t xml:space="preserve">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4" w:space="4"/>
      </w:pBdr>
      <w:jc w:val="right"/>
    </w:pPr>
    <w:r>
      <w:rPr>
        <w:color w:val="555555"/>
        <w:sz w:val="15"/>
        <w:szCs w:val="15"/>
      </w:rPr>
      <w:t xml:space="preserve">Memorial Tunnel TVS  |  Design Basis Report  |  Doc. STN-MT-DBR-001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5F"/>
      <w:sz w:val="30"/>
      <w:szCs w:val="30"/>
    </w:rPr>
  </w:style>
  <w:style w:type="paragraph" w:styleId="Heading2">
    <w:name w:val="Heading 2"/>
    <w:basedOn w:val="Normal"/>
    <w:next w:val="Normal"/>
    <w:qFormat/>
    <w:pPr>
      <w:spacing w:after="100" w:before="220"/>
      <w:outlineLvl w:val="1"/>
    </w:pPr>
    <w:rPr>
      <w:b/>
      <w:bCs/>
      <w:color w:val="2E7D8C"/>
      <w:sz w:val="25"/>
      <w:szCs w:val="25"/>
    </w:rPr>
  </w:style>
  <w:style w:type="paragraph" w:styleId="Heading3">
    <w:name w:val="Heading 3"/>
    <w:basedOn w:val="Normal"/>
    <w:next w:val="Normal"/>
    <w:qFormat/>
    <w:pPr>
      <w:spacing w:after="80" w:before="16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Tunnel TVS — Design Basis Report</dc:title>
  <dc:creator>Synoptic CFD</dc:creator>
  <cp:lastModifiedBy>Un-named</cp:lastModifiedBy>
  <cp:revision>1</cp:revision>
  <dcterms:created xsi:type="dcterms:W3CDTF">2026-07-01T08:11:31.728Z</dcterms:created>
  <dcterms:modified xsi:type="dcterms:W3CDTF">2026-07-01T08:11:31.728Z</dcterms:modified>
</cp:coreProperties>
</file>

<file path=docProps/custom.xml><?xml version="1.0" encoding="utf-8"?>
<Properties xmlns="http://schemas.openxmlformats.org/officeDocument/2006/custom-properties" xmlns:vt="http://schemas.openxmlformats.org/officeDocument/2006/docPropsVTypes"/>
</file>