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rPr>
          <w:b/>
          <w:bCs/>
          <w:color w:val="1F4E5F"/>
          <w:sz w:val="34"/>
          <w:szCs w:val="34"/>
        </w:rPr>
        <w:t xml:space="preserve">SYNOPTIC CFD</w:t>
      </w:r>
    </w:p>
    <w:p>
      <w:pPr>
        <w:jc w:val="center"/>
      </w:pPr>
      <w:r>
        <w:rPr>
          <w:color w:val="555555"/>
          <w:sz w:val="20"/>
          <w:szCs w:val="20"/>
        </w:rPr>
        <w:t xml:space="preserve">Tunnel Ventilation Engineering</w:t>
      </w:r>
    </w:p>
    <w:p>
      <w:pPr>
        <w:spacing w:before="1100"/>
        <w:jc w:val="center"/>
      </w:pPr>
      <w:r>
        <w:rPr>
          <w:b/>
          <w:bCs/>
          <w:color w:val="2E7D8C"/>
          <w:sz w:val="44"/>
          <w:szCs w:val="44"/>
        </w:rPr>
        <w:t xml:space="preserve">FINAL ENGINEERING</w:t>
      </w:r>
    </w:p>
    <w:p>
      <w:pPr>
        <w:jc w:val="center"/>
      </w:pPr>
      <w:r>
        <w:rPr>
          <w:b/>
          <w:bCs/>
          <w:color w:val="2E7D8C"/>
          <w:sz w:val="44"/>
          <w:szCs w:val="44"/>
        </w:rPr>
        <w:t xml:space="preserve">REPORT</w:t>
      </w:r>
    </w:p>
    <w:p>
      <w:pPr>
        <w:spacing w:before="140"/>
        <w:jc w:val="center"/>
      </w:pPr>
      <w:r>
        <w:rPr>
          <w:sz w:val="24"/>
          <w:szCs w:val="24"/>
        </w:rPr>
        <w:t xml:space="preserve">Emergency Tunnel Ventilation System</w:t>
      </w:r>
    </w:p>
    <w:p>
      <w:pPr>
        <w:jc w:val="center"/>
      </w:pPr>
      <w:r>
        <w:rPr>
          <w:i/>
          <w:iCs/>
          <w:color w:val="555555"/>
          <w:sz w:val="20"/>
          <w:szCs w:val="20"/>
        </w:rPr>
        <w:t xml:space="preserve">SES v4.1 Validation &amp; Longitudinal Ventilation Design</w:t>
      </w:r>
    </w:p>
    <w:p>
      <w:pPr>
        <w:spacing w:before="120"/>
        <w:jc w:val="center"/>
      </w:pPr>
      <w:r>
        <w:rPr>
          <w:sz w:val="22"/>
          <w:szCs w:val="22"/>
        </w:rPr>
        <w:t xml:space="preserve">Memorial Tunnel Reference Project</w:t>
      </w:r>
    </w:p>
    <w:p>
      <w:pPr>
        <w:spacing w:before="1300"/>
        <w:jc w:val="center"/>
      </w:pPr>
      <w:r>
        <w:rPr>
          <w:color w:val="555555"/>
          <w:sz w:val="18"/>
          <w:szCs w:val="18"/>
        </w:rPr>
        <w:t xml:space="preserve">Document No. STN-MT-FER-009   |   Revision A   |   Deliverable D9</w:t>
      </w:r>
    </w:p>
    <w:p>
      <w:r>
        <w:br w:type="page"/>
      </w:r>
    </w:p>
    <w:p>
      <w:pPr>
        <w:pStyle w:val="Heading1"/>
        <w:spacing w:after="120" w:before="240"/>
      </w:pPr>
      <w:r>
        <w:t xml:space="preserve">Document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1F4E5F" w:color="auto" w:val="clear"/>
            <w:tcMar>
              <w:top w:type="dxa" w:w="40"/>
              <w:left w:type="dxa" w:w="90"/>
              <w:bottom w:type="dxa" w:w="40"/>
              <w:right w:type="dxa" w:w="90"/>
            </w:tcMar>
          </w:tcPr>
          <w:p>
            <w:pPr>
              <w:spacing w:after="0" w:line="240"/>
            </w:pPr>
            <w:r>
              <w:rPr>
                <w:b/>
                <w:bCs/>
                <w:color w:val="FFFFFF"/>
                <w:sz w:val="18"/>
                <w:szCs w:val="18"/>
              </w:rPr>
              <w:t xml:space="preserve">Field</w:t>
            </w:r>
          </w:p>
        </w:tc>
        <w:tc>
          <w:tcPr>
            <w:tcW w:type="dxa" w:w="6800"/>
            <w:shd w:fill="1F4E5F" w:color="auto" w:val="clear"/>
            <w:tcMar>
              <w:top w:type="dxa" w:w="40"/>
              <w:left w:type="dxa" w:w="90"/>
              <w:bottom w:type="dxa" w:w="40"/>
              <w:right w:type="dxa" w:w="90"/>
            </w:tcMar>
          </w:tcPr>
          <w:p>
            <w:pPr>
              <w:spacing w:after="0" w:line="240"/>
            </w:pPr>
            <w:r>
              <w:rPr>
                <w:b/>
                <w:bCs/>
                <w:color w:val="FFFFFF"/>
                <w:sz w:val="18"/>
                <w:szCs w:val="18"/>
              </w:rPr>
              <w:t xml:space="preserve">Detail</w:t>
            </w:r>
          </w:p>
        </w:tc>
      </w:tr>
      <w:tr>
        <w:trPr>
          <w:tblHeader w:val="false"/>
        </w:trPr>
        <w:tc>
          <w:tcPr>
            <w:tcW w:type="dxa" w:w="2800"/>
            <w:tcMar>
              <w:top w:type="dxa" w:w="40"/>
              <w:left w:type="dxa" w:w="90"/>
              <w:bottom w:type="dxa" w:w="40"/>
              <w:right w:type="dxa" w:w="90"/>
            </w:tcMar>
          </w:tcPr>
          <w:p>
            <w:pPr>
              <w:spacing w:after="0" w:line="240"/>
            </w:pPr>
            <w:r>
              <w:rPr>
                <w:b w:val="false"/>
                <w:bCs w:val="false"/>
                <w:color w:val="000000"/>
                <w:sz w:val="18"/>
                <w:szCs w:val="18"/>
              </w:rPr>
              <w:t xml:space="preserve">Document</w:t>
            </w:r>
          </w:p>
        </w:tc>
        <w:tc>
          <w:tcPr>
            <w:tcW w:type="dxa" w:w="6800"/>
            <w:tcMar>
              <w:top w:type="dxa" w:w="40"/>
              <w:left w:type="dxa" w:w="90"/>
              <w:bottom w:type="dxa" w:w="40"/>
              <w:right w:type="dxa" w:w="90"/>
            </w:tcMar>
          </w:tcPr>
          <w:p>
            <w:pPr>
              <w:spacing w:after="0" w:line="240"/>
            </w:pPr>
            <w:r>
              <w:rPr>
                <w:b w:val="false"/>
                <w:bCs w:val="false"/>
                <w:color w:val="000000"/>
                <w:sz w:val="18"/>
                <w:szCs w:val="18"/>
              </w:rPr>
              <w:t xml:space="preserve">Final Engineering Report (Deliverable D9)</w:t>
            </w:r>
          </w:p>
        </w:tc>
      </w:tr>
      <w:tr>
        <w:trPr>
          <w:tblHeader w:val="false"/>
        </w:trPr>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Number / Rev</w:t>
            </w:r>
          </w:p>
        </w:tc>
        <w:tc>
          <w:tcPr>
            <w:tcW w:type="dxa" w:w="6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STN-MT-FER-009 / Rev A — For Review</w:t>
            </w:r>
          </w:p>
        </w:tc>
      </w:tr>
      <w:tr>
        <w:trPr>
          <w:tblHeader w:val="false"/>
        </w:trPr>
        <w:tc>
          <w:tcPr>
            <w:tcW w:type="dxa" w:w="2800"/>
            <w:tcMar>
              <w:top w:type="dxa" w:w="40"/>
              <w:left w:type="dxa" w:w="90"/>
              <w:bottom w:type="dxa" w:w="40"/>
              <w:right w:type="dxa" w:w="90"/>
            </w:tcMar>
          </w:tcPr>
          <w:p>
            <w:pPr>
              <w:spacing w:after="0" w:line="240"/>
            </w:pPr>
            <w:r>
              <w:rPr>
                <w:b w:val="false"/>
                <w:bCs w:val="false"/>
                <w:color w:val="000000"/>
                <w:sz w:val="18"/>
                <w:szCs w:val="18"/>
              </w:rPr>
              <w:t xml:space="preserve">Project</w:t>
            </w:r>
          </w:p>
        </w:tc>
        <w:tc>
          <w:tcPr>
            <w:tcW w:type="dxa" w:w="6800"/>
            <w:tcMar>
              <w:top w:type="dxa" w:w="40"/>
              <w:left w:type="dxa" w:w="90"/>
              <w:bottom w:type="dxa" w:w="40"/>
              <w:right w:type="dxa" w:w="90"/>
            </w:tcMar>
          </w:tcPr>
          <w:p>
            <w:pPr>
              <w:spacing w:after="0" w:line="240"/>
            </w:pPr>
            <w:r>
              <w:rPr>
                <w:b w:val="false"/>
                <w:bCs w:val="false"/>
                <w:color w:val="000000"/>
                <w:sz w:val="18"/>
                <w:szCs w:val="18"/>
              </w:rPr>
              <w:t xml:space="preserve">Memorial Tunnel TVS Validation &amp; Emergency Ventilation Design</w:t>
            </w:r>
          </w:p>
        </w:tc>
      </w:tr>
      <w:tr>
        <w:trPr>
          <w:tblHeader w:val="false"/>
        </w:trPr>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Analysis tool</w:t>
            </w:r>
          </w:p>
        </w:tc>
        <w:tc>
          <w:tcPr>
            <w:tcW w:type="dxa" w:w="6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Subway Environmental Simulation (SES) Version 4.1</w:t>
            </w:r>
          </w:p>
        </w:tc>
      </w:tr>
      <w:tr>
        <w:trPr>
          <w:tblHeader w:val="false"/>
        </w:trPr>
        <w:tc>
          <w:tcPr>
            <w:tcW w:type="dxa" w:w="2800"/>
            <w:tcMar>
              <w:top w:type="dxa" w:w="40"/>
              <w:left w:type="dxa" w:w="90"/>
              <w:bottom w:type="dxa" w:w="40"/>
              <w:right w:type="dxa" w:w="90"/>
            </w:tcMar>
          </w:tcPr>
          <w:p>
            <w:pPr>
              <w:spacing w:after="0" w:line="240"/>
            </w:pPr>
            <w:r>
              <w:rPr>
                <w:b w:val="false"/>
                <w:bCs w:val="false"/>
                <w:color w:val="000000"/>
                <w:sz w:val="18"/>
                <w:szCs w:val="18"/>
              </w:rPr>
              <w:t xml:space="preserve">Prepared by</w:t>
            </w:r>
          </w:p>
        </w:tc>
        <w:tc>
          <w:tcPr>
            <w:tcW w:type="dxa" w:w="6800"/>
            <w:tcMar>
              <w:top w:type="dxa" w:w="40"/>
              <w:left w:type="dxa" w:w="90"/>
              <w:bottom w:type="dxa" w:w="40"/>
              <w:right w:type="dxa" w:w="90"/>
            </w:tcMar>
          </w:tcPr>
          <w:p>
            <w:pPr>
              <w:spacing w:after="0" w:line="240"/>
            </w:pPr>
            <w:r>
              <w:rPr>
                <w:b w:val="false"/>
                <w:bCs w:val="false"/>
                <w:color w:val="000000"/>
                <w:sz w:val="18"/>
                <w:szCs w:val="18"/>
              </w:rPr>
              <w:t xml:space="preserve">Synoptic CFD</w:t>
            </w:r>
          </w:p>
        </w:tc>
      </w:tr>
    </w:tbl>
    <w:p>
      <w:pPr>
        <w:spacing w:after="120"/>
      </w:pPr>
    </w:p>
    <w:p>
      <w:pPr>
        <w:spacing w:after="120" w:line="276"/>
        <w:jc w:val="both"/>
      </w:pPr>
      <w:r>
        <w:rPr>
          <w:i/>
          <w:iCs/>
          <w:color w:val="555555"/>
          <w:sz w:val="18"/>
          <w:szCs w:val="18"/>
        </w:rPr>
        <w:t xml:space="preserve">This report consolidates the full deliverable set and states the engineering conclusions. It should be read with the supporting deliverables listed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800"/>
      </w:tblGrid>
      <w:tr>
        <w:trPr>
          <w:tblHeader/>
        </w:trPr>
        <w:tc>
          <w:tcPr>
            <w:tcW w:type="dxa" w:w="1200"/>
            <w:shd w:fill="1F4E5F" w:color="auto" w:val="clear"/>
            <w:tcMar>
              <w:top w:type="dxa" w:w="40"/>
              <w:left w:type="dxa" w:w="90"/>
              <w:bottom w:type="dxa" w:w="40"/>
              <w:right w:type="dxa" w:w="90"/>
            </w:tcMar>
          </w:tcPr>
          <w:p>
            <w:pPr>
              <w:spacing w:after="0" w:line="240"/>
            </w:pPr>
            <w:r>
              <w:rPr>
                <w:b/>
                <w:bCs/>
                <w:color w:val="FFFFFF"/>
                <w:sz w:val="18"/>
                <w:szCs w:val="18"/>
              </w:rPr>
              <w:t xml:space="preserve">Ref</w:t>
            </w:r>
          </w:p>
        </w:tc>
        <w:tc>
          <w:tcPr>
            <w:tcW w:type="dxa" w:w="5600"/>
            <w:shd w:fill="1F4E5F" w:color="auto" w:val="clear"/>
            <w:tcMar>
              <w:top w:type="dxa" w:w="40"/>
              <w:left w:type="dxa" w:w="90"/>
              <w:bottom w:type="dxa" w:w="40"/>
              <w:right w:type="dxa" w:w="90"/>
            </w:tcMar>
          </w:tcPr>
          <w:p>
            <w:pPr>
              <w:spacing w:after="0" w:line="240"/>
            </w:pPr>
            <w:r>
              <w:rPr>
                <w:b/>
                <w:bCs/>
                <w:color w:val="FFFFFF"/>
                <w:sz w:val="18"/>
                <w:szCs w:val="18"/>
              </w:rPr>
              <w:t xml:space="preserve">Deliverable</w:t>
            </w:r>
          </w:p>
        </w:tc>
        <w:tc>
          <w:tcPr>
            <w:tcW w:type="dxa" w:w="2800"/>
            <w:shd w:fill="1F4E5F" w:color="auto" w:val="clear"/>
            <w:tcMar>
              <w:top w:type="dxa" w:w="40"/>
              <w:left w:type="dxa" w:w="90"/>
              <w:bottom w:type="dxa" w:w="40"/>
              <w:right w:type="dxa" w:w="90"/>
            </w:tcMar>
          </w:tcPr>
          <w:p>
            <w:pPr>
              <w:spacing w:after="0" w:line="240"/>
            </w:pPr>
            <w:r>
              <w:rPr>
                <w:b/>
                <w:bCs/>
                <w:color w:val="FFFFFF"/>
                <w:sz w:val="18"/>
                <w:szCs w:val="18"/>
              </w:rPr>
              <w:t xml:space="preserve">Document No.</w:t>
            </w:r>
          </w:p>
        </w:tc>
      </w:tr>
      <w:tr>
        <w:trPr>
          <w:tblHeader w:val="false"/>
        </w:trPr>
        <w:tc>
          <w:tcPr>
            <w:tcW w:type="dxa" w:w="1200"/>
            <w:tcMar>
              <w:top w:type="dxa" w:w="40"/>
              <w:left w:type="dxa" w:w="90"/>
              <w:bottom w:type="dxa" w:w="40"/>
              <w:right w:type="dxa" w:w="90"/>
            </w:tcMar>
          </w:tcPr>
          <w:p>
            <w:pPr>
              <w:spacing w:after="0" w:line="240"/>
            </w:pPr>
            <w:r>
              <w:rPr>
                <w:b w:val="false"/>
                <w:bCs w:val="false"/>
                <w:color w:val="000000"/>
                <w:sz w:val="18"/>
                <w:szCs w:val="18"/>
              </w:rPr>
              <w:t xml:space="preserve">D1</w:t>
            </w:r>
          </w:p>
        </w:tc>
        <w:tc>
          <w:tcPr>
            <w:tcW w:type="dxa" w:w="5600"/>
            <w:tcMar>
              <w:top w:type="dxa" w:w="40"/>
              <w:left w:type="dxa" w:w="90"/>
              <w:bottom w:type="dxa" w:w="40"/>
              <w:right w:type="dxa" w:w="90"/>
            </w:tcMar>
          </w:tcPr>
          <w:p>
            <w:pPr>
              <w:spacing w:after="0" w:line="240"/>
            </w:pPr>
            <w:r>
              <w:rPr>
                <w:b w:val="false"/>
                <w:bCs w:val="false"/>
                <w:color w:val="000000"/>
                <w:sz w:val="18"/>
                <w:szCs w:val="18"/>
              </w:rPr>
              <w:t xml:space="preserve">Design Basis Report</w:t>
            </w:r>
          </w:p>
        </w:tc>
        <w:tc>
          <w:tcPr>
            <w:tcW w:type="dxa" w:w="2800"/>
            <w:tcMar>
              <w:top w:type="dxa" w:w="40"/>
              <w:left w:type="dxa" w:w="90"/>
              <w:bottom w:type="dxa" w:w="40"/>
              <w:right w:type="dxa" w:w="90"/>
            </w:tcMar>
          </w:tcPr>
          <w:p>
            <w:pPr>
              <w:spacing w:after="0" w:line="240"/>
            </w:pPr>
            <w:r>
              <w:rPr>
                <w:b w:val="false"/>
                <w:bCs w:val="false"/>
                <w:color w:val="000000"/>
                <w:sz w:val="18"/>
                <w:szCs w:val="18"/>
              </w:rPr>
              <w:t xml:space="preserve">STN-MT-DBR-001</w:t>
            </w:r>
          </w:p>
        </w:tc>
      </w:tr>
      <w:tr>
        <w:trPr>
          <w:tblHeader w:val="false"/>
        </w:trPr>
        <w:tc>
          <w:tcPr>
            <w:tcW w:type="dxa" w:w="1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D2</w:t>
            </w:r>
          </w:p>
        </w:tc>
        <w:tc>
          <w:tcPr>
            <w:tcW w:type="dxa" w:w="5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Critical Velocity &amp; Fan Sizing</w:t>
            </w:r>
          </w:p>
        </w:tc>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STN-MT-CVC-002</w:t>
            </w:r>
          </w:p>
        </w:tc>
      </w:tr>
      <w:tr>
        <w:trPr>
          <w:tblHeader w:val="false"/>
        </w:trPr>
        <w:tc>
          <w:tcPr>
            <w:tcW w:type="dxa" w:w="1200"/>
            <w:tcMar>
              <w:top w:type="dxa" w:w="40"/>
              <w:left w:type="dxa" w:w="90"/>
              <w:bottom w:type="dxa" w:w="40"/>
              <w:right w:type="dxa" w:w="90"/>
            </w:tcMar>
          </w:tcPr>
          <w:p>
            <w:pPr>
              <w:spacing w:after="0" w:line="240"/>
            </w:pPr>
            <w:r>
              <w:rPr>
                <w:b w:val="false"/>
                <w:bCs w:val="false"/>
                <w:color w:val="000000"/>
                <w:sz w:val="18"/>
                <w:szCs w:val="18"/>
              </w:rPr>
              <w:t xml:space="preserve">D3</w:t>
            </w:r>
          </w:p>
        </w:tc>
        <w:tc>
          <w:tcPr>
            <w:tcW w:type="dxa" w:w="5600"/>
            <w:tcMar>
              <w:top w:type="dxa" w:w="40"/>
              <w:left w:type="dxa" w:w="90"/>
              <w:bottom w:type="dxa" w:w="40"/>
              <w:right w:type="dxa" w:w="90"/>
            </w:tcMar>
          </w:tcPr>
          <w:p>
            <w:pPr>
              <w:spacing w:after="0" w:line="240"/>
            </w:pPr>
            <w:r>
              <w:rPr>
                <w:b w:val="false"/>
                <w:bCs w:val="false"/>
                <w:color w:val="000000"/>
                <w:sz w:val="18"/>
                <w:szCs w:val="18"/>
              </w:rPr>
              <w:t xml:space="preserve">SES Model Build Documentation</w:t>
            </w:r>
          </w:p>
        </w:tc>
        <w:tc>
          <w:tcPr>
            <w:tcW w:type="dxa" w:w="2800"/>
            <w:tcMar>
              <w:top w:type="dxa" w:w="40"/>
              <w:left w:type="dxa" w:w="90"/>
              <w:bottom w:type="dxa" w:w="40"/>
              <w:right w:type="dxa" w:w="90"/>
            </w:tcMar>
          </w:tcPr>
          <w:p>
            <w:pPr>
              <w:spacing w:after="0" w:line="240"/>
            </w:pPr>
            <w:r>
              <w:rPr>
                <w:b w:val="false"/>
                <w:bCs w:val="false"/>
                <w:color w:val="000000"/>
                <w:sz w:val="18"/>
                <w:szCs w:val="18"/>
              </w:rPr>
              <w:t xml:space="preserve">STN-MT-SES-003</w:t>
            </w:r>
          </w:p>
        </w:tc>
      </w:tr>
      <w:tr>
        <w:trPr>
          <w:tblHeader w:val="false"/>
        </w:trPr>
        <w:tc>
          <w:tcPr>
            <w:tcW w:type="dxa" w:w="1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D5</w:t>
            </w:r>
          </w:p>
        </w:tc>
        <w:tc>
          <w:tcPr>
            <w:tcW w:type="dxa" w:w="5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Long-Term Heat Sink Analysis</w:t>
            </w:r>
          </w:p>
        </w:tc>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STN-MT-HSK-005</w:t>
            </w:r>
          </w:p>
        </w:tc>
      </w:tr>
      <w:tr>
        <w:trPr>
          <w:tblHeader w:val="false"/>
        </w:trPr>
        <w:tc>
          <w:tcPr>
            <w:tcW w:type="dxa" w:w="1200"/>
            <w:tcMar>
              <w:top w:type="dxa" w:w="40"/>
              <w:left w:type="dxa" w:w="90"/>
              <w:bottom w:type="dxa" w:w="40"/>
              <w:right w:type="dxa" w:w="90"/>
            </w:tcMar>
          </w:tcPr>
          <w:p>
            <w:pPr>
              <w:spacing w:after="0" w:line="240"/>
            </w:pPr>
            <w:r>
              <w:rPr>
                <w:b w:val="false"/>
                <w:bCs w:val="false"/>
                <w:color w:val="000000"/>
                <w:sz w:val="18"/>
                <w:szCs w:val="18"/>
              </w:rPr>
              <w:t xml:space="preserve">D6/D7</w:t>
            </w:r>
          </w:p>
        </w:tc>
        <w:tc>
          <w:tcPr>
            <w:tcW w:type="dxa" w:w="5600"/>
            <w:tcMar>
              <w:top w:type="dxa" w:w="40"/>
              <w:left w:type="dxa" w:w="90"/>
              <w:bottom w:type="dxa" w:w="40"/>
              <w:right w:type="dxa" w:w="90"/>
            </w:tcMar>
          </w:tcPr>
          <w:p>
            <w:pPr>
              <w:spacing w:after="0" w:line="240"/>
            </w:pPr>
            <w:r>
              <w:rPr>
                <w:b w:val="false"/>
                <w:bCs w:val="false"/>
                <w:color w:val="000000"/>
                <w:sz w:val="18"/>
                <w:szCs w:val="18"/>
              </w:rPr>
              <w:t xml:space="preserve">Validation &amp; Post-Processing Workbook</w:t>
            </w:r>
          </w:p>
        </w:tc>
        <w:tc>
          <w:tcPr>
            <w:tcW w:type="dxa" w:w="2800"/>
            <w:tcMar>
              <w:top w:type="dxa" w:w="40"/>
              <w:left w:type="dxa" w:w="90"/>
              <w:bottom w:type="dxa" w:w="40"/>
              <w:right w:type="dxa" w:w="90"/>
            </w:tcMar>
          </w:tcPr>
          <w:p>
            <w:pPr>
              <w:spacing w:after="0" w:line="240"/>
            </w:pPr>
            <w:r>
              <w:rPr>
                <w:b w:val="false"/>
                <w:bCs w:val="false"/>
                <w:color w:val="000000"/>
                <w:sz w:val="18"/>
                <w:szCs w:val="18"/>
              </w:rPr>
              <w:t xml:space="preserve">STN-MT-PP-007</w:t>
            </w:r>
          </w:p>
        </w:tc>
      </w:tr>
      <w:tr>
        <w:trPr>
          <w:tblHeader w:val="false"/>
        </w:trPr>
        <w:tc>
          <w:tcPr>
            <w:tcW w:type="dxa" w:w="1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D8</w:t>
            </w:r>
          </w:p>
        </w:tc>
        <w:tc>
          <w:tcPr>
            <w:tcW w:type="dxa" w:w="5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Fan Operating Matrix</w:t>
            </w:r>
          </w:p>
        </w:tc>
        <w:tc>
          <w:tcPr>
            <w:tcW w:type="dxa" w:w="28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STN-MT-EVR-008</w:t>
            </w:r>
          </w:p>
        </w:tc>
      </w:tr>
      <w:tr>
        <w:trPr>
          <w:tblHeader w:val="false"/>
        </w:trPr>
        <w:tc>
          <w:tcPr>
            <w:tcW w:type="dxa" w:w="1200"/>
            <w:tcMar>
              <w:top w:type="dxa" w:w="40"/>
              <w:left w:type="dxa" w:w="90"/>
              <w:bottom w:type="dxa" w:w="40"/>
              <w:right w:type="dxa" w:w="90"/>
            </w:tcMar>
          </w:tcPr>
          <w:p>
            <w:pPr>
              <w:spacing w:after="0" w:line="240"/>
            </w:pPr>
            <w:r>
              <w:rPr>
                <w:b w:val="false"/>
                <w:bCs w:val="false"/>
                <w:color w:val="000000"/>
                <w:sz w:val="18"/>
                <w:szCs w:val="18"/>
              </w:rPr>
              <w:t xml:space="preserve">D9</w:t>
            </w:r>
          </w:p>
        </w:tc>
        <w:tc>
          <w:tcPr>
            <w:tcW w:type="dxa" w:w="5600"/>
            <w:tcMar>
              <w:top w:type="dxa" w:w="40"/>
              <w:left w:type="dxa" w:w="90"/>
              <w:bottom w:type="dxa" w:w="40"/>
              <w:right w:type="dxa" w:w="90"/>
            </w:tcMar>
          </w:tcPr>
          <w:p>
            <w:pPr>
              <w:spacing w:after="0" w:line="240"/>
            </w:pPr>
            <w:r>
              <w:rPr>
                <w:b w:val="false"/>
                <w:bCs w:val="false"/>
                <w:color w:val="000000"/>
                <w:sz w:val="18"/>
                <w:szCs w:val="18"/>
              </w:rPr>
              <w:t xml:space="preserve">Final Engineering Report (this)</w:t>
            </w:r>
          </w:p>
        </w:tc>
        <w:tc>
          <w:tcPr>
            <w:tcW w:type="dxa" w:w="2800"/>
            <w:tcMar>
              <w:top w:type="dxa" w:w="40"/>
              <w:left w:type="dxa" w:w="90"/>
              <w:bottom w:type="dxa" w:w="40"/>
              <w:right w:type="dxa" w:w="90"/>
            </w:tcMar>
          </w:tcPr>
          <w:p>
            <w:pPr>
              <w:spacing w:after="0" w:line="240"/>
            </w:pPr>
            <w:r>
              <w:rPr>
                <w:b w:val="false"/>
                <w:bCs w:val="false"/>
                <w:color w:val="000000"/>
                <w:sz w:val="18"/>
                <w:szCs w:val="18"/>
              </w:rPr>
              <w:t xml:space="preserve">STN-MT-FER-009</w:t>
            </w:r>
          </w:p>
        </w:tc>
      </w:tr>
    </w:tbl>
    <w:p>
      <w:r>
        <w:br w:type="page"/>
      </w:r>
    </w:p>
    <w:p>
      <w:pPr>
        <w:pStyle w:val="Heading1"/>
        <w:spacing w:after="120" w:before="240"/>
      </w:pPr>
      <w:r>
        <w:t xml:space="preserve">Contents</w:t>
      </w:r>
    </w:p>
    <w:p>
      <w:pPr>
        <w:tabs>
          <w:tab w:val="right" w:leader="dot" w:pos="9600"/>
        </w:tabs>
        <w:ind w:left="0"/>
        <w:spacing w:after="80" w:line="264" w:lineRule="auto"/>
      </w:pPr>
      <w:r>
        <w:rPr>
          <w:sz w:val="21"/>
        </w:rPr>
        <w:t xml:space="preserve">Document Control</w:t>
      </w:r>
      <w:r>
        <w:rPr>
          <w:sz w:val="21"/>
        </w:rPr>
        <w:tab/>
        <w:t>2</w:t>
      </w:r>
    </w:p>
    <w:p>
      <w:pPr>
        <w:tabs>
          <w:tab w:val="right" w:leader="dot" w:pos="9600"/>
        </w:tabs>
        <w:ind w:left="0"/>
        <w:spacing w:after="80" w:line="264" w:lineRule="auto"/>
      </w:pPr>
      <w:r>
        <w:rPr>
          <w:sz w:val="21"/>
        </w:rPr>
        <w:t xml:space="preserve">1  Executive Summary</w:t>
      </w:r>
      <w:r>
        <w:rPr>
          <w:sz w:val="21"/>
        </w:rPr>
        <w:tab/>
        <w:t>4</w:t>
      </w:r>
    </w:p>
    <w:p>
      <w:pPr>
        <w:tabs>
          <w:tab w:val="right" w:leader="dot" w:pos="9600"/>
        </w:tabs>
        <w:ind w:left="0"/>
        <w:spacing w:after="80" w:line="264" w:lineRule="auto"/>
      </w:pPr>
      <w:r>
        <w:rPr>
          <w:sz w:val="21"/>
        </w:rPr>
        <w:t xml:space="preserve">2  Objectives &amp; Scope</w:t>
      </w:r>
      <w:r>
        <w:rPr>
          <w:sz w:val="21"/>
        </w:rPr>
        <w:tab/>
        <w:t>4</w:t>
      </w:r>
    </w:p>
    <w:p>
      <w:pPr>
        <w:tabs>
          <w:tab w:val="right" w:leader="dot" w:pos="9600"/>
        </w:tabs>
        <w:ind w:left="0"/>
        <w:spacing w:after="80" w:line="264" w:lineRule="auto"/>
      </w:pPr>
      <w:r>
        <w:rPr>
          <w:sz w:val="21"/>
        </w:rPr>
        <w:t xml:space="preserve">3  Design Basis (Summary of D1)</w:t>
      </w:r>
      <w:r>
        <w:rPr>
          <w:sz w:val="21"/>
        </w:rPr>
        <w:tab/>
        <w:t>4</w:t>
      </w:r>
    </w:p>
    <w:p>
      <w:pPr>
        <w:tabs>
          <w:tab w:val="right" w:leader="dot" w:pos="9600"/>
        </w:tabs>
        <w:ind w:left="0"/>
        <w:spacing w:after="80" w:line="264" w:lineRule="auto"/>
      </w:pPr>
      <w:r>
        <w:rPr>
          <w:sz w:val="21"/>
        </w:rPr>
        <w:t xml:space="preserve">4  Critical Velocity &amp; Fan Sizing (Summary of D2)</w:t>
      </w:r>
      <w:r>
        <w:rPr>
          <w:sz w:val="21"/>
        </w:rPr>
        <w:tab/>
        <w:t>5</w:t>
      </w:r>
    </w:p>
    <w:p>
      <w:pPr>
        <w:tabs>
          <w:tab w:val="right" w:leader="dot" w:pos="9600"/>
        </w:tabs>
        <w:ind w:left="0"/>
        <w:spacing w:after="80" w:line="264" w:lineRule="auto"/>
      </w:pPr>
      <w:r>
        <w:rPr>
          <w:sz w:val="21"/>
        </w:rPr>
        <w:t xml:space="preserve">5  SES Model (Summary of D3)</w:t>
      </w:r>
      <w:r>
        <w:rPr>
          <w:sz w:val="21"/>
        </w:rPr>
        <w:tab/>
        <w:t>5</w:t>
      </w:r>
    </w:p>
    <w:p>
      <w:pPr>
        <w:tabs>
          <w:tab w:val="right" w:leader="dot" w:pos="9600"/>
        </w:tabs>
        <w:ind w:left="0"/>
        <w:spacing w:after="80" w:line="264" w:lineRule="auto"/>
      </w:pPr>
      <w:r>
        <w:rPr>
          <w:sz w:val="21"/>
        </w:rPr>
        <w:t xml:space="preserve">6  Long-Term Heat Sink (Summary of D5)</w:t>
      </w:r>
      <w:r>
        <w:rPr>
          <w:sz w:val="21"/>
        </w:rPr>
        <w:tab/>
        <w:t>5</w:t>
      </w:r>
    </w:p>
    <w:p>
      <w:pPr>
        <w:tabs>
          <w:tab w:val="right" w:leader="dot" w:pos="9600"/>
        </w:tabs>
        <w:ind w:left="0"/>
        <w:spacing w:after="80" w:line="264" w:lineRule="auto"/>
      </w:pPr>
      <w:r>
        <w:rPr>
          <w:sz w:val="21"/>
        </w:rPr>
        <w:t xml:space="preserve">7  Validation Results (Summary of D6/D7)</w:t>
      </w:r>
      <w:r>
        <w:rPr>
          <w:sz w:val="21"/>
        </w:rPr>
        <w:tab/>
        <w:t>5</w:t>
      </w:r>
    </w:p>
    <w:p>
      <w:pPr>
        <w:tabs>
          <w:tab w:val="right" w:leader="dot" w:pos="9600"/>
        </w:tabs>
        <w:ind w:left="0"/>
        <w:spacing w:after="80" w:line="264" w:lineRule="auto"/>
      </w:pPr>
      <w:r>
        <w:rPr>
          <w:sz w:val="21"/>
        </w:rPr>
        <w:t xml:space="preserve">8  Emergency Ventilation Response (Summary of D8)</w:t>
      </w:r>
      <w:r>
        <w:rPr>
          <w:sz w:val="21"/>
        </w:rPr>
        <w:tab/>
        <w:t>6</w:t>
      </w:r>
    </w:p>
    <w:p>
      <w:pPr>
        <w:tabs>
          <w:tab w:val="right" w:leader="dot" w:pos="9600"/>
        </w:tabs>
        <w:ind w:left="0"/>
        <w:spacing w:after="80" w:line="264" w:lineRule="auto"/>
      </w:pPr>
      <w:r>
        <w:rPr>
          <w:sz w:val="21"/>
        </w:rPr>
        <w:t xml:space="preserve">9  Conclusions</w:t>
      </w:r>
      <w:r>
        <w:rPr>
          <w:sz w:val="21"/>
        </w:rPr>
        <w:tab/>
        <w:t>6</w:t>
      </w:r>
    </w:p>
    <w:p>
      <w:pPr>
        <w:tabs>
          <w:tab w:val="right" w:leader="dot" w:pos="9600"/>
        </w:tabs>
        <w:ind w:left="0"/>
        <w:spacing w:after="80" w:line="264" w:lineRule="auto"/>
      </w:pPr>
      <w:r>
        <w:rPr>
          <w:sz w:val="21"/>
        </w:rPr>
        <w:t xml:space="preserve">10  Recommendations</w:t>
      </w:r>
      <w:r>
        <w:rPr>
          <w:sz w:val="21"/>
        </w:rPr>
        <w:tab/>
        <w:t>6</w:t>
      </w:r>
    </w:p>
    <w:p>
      <w:pPr>
        <w:tabs>
          <w:tab w:val="right" w:leader="dot" w:pos="9600"/>
        </w:tabs>
        <w:ind w:left="0"/>
        <w:spacing w:after="80" w:line="264" w:lineRule="auto"/>
      </w:pPr>
      <w:r>
        <w:rPr>
          <w:sz w:val="21"/>
        </w:rPr>
        <w:t xml:space="preserve">11  Limitations &amp; Assumptions</w:t>
      </w:r>
      <w:r>
        <w:rPr>
          <w:sz w:val="21"/>
        </w:rPr>
        <w:tab/>
        <w:t>6</w:t>
      </w:r>
    </w:p>
    <w:p>
      <w:r>
        <w:br w:type="page"/>
      </w:r>
    </w:p>
    <w:p>
      <w:pPr>
        <w:pStyle w:val="Heading1"/>
        <w:spacing w:after="120" w:before="240"/>
      </w:pPr>
      <w:r>
        <w:t xml:space="preserve">1  Executive Summary</w:t>
      </w:r>
    </w:p>
    <w:p>
      <w:pPr>
        <w:spacing w:after="120" w:line="276"/>
        <w:jc w:val="both"/>
      </w:pPr>
      <w:r>
        <w:t xml:space="preserve">Synoptic CFD was engaged to analyse the emergency tunnel ventilation system (TVS) of the Memorial Tunnel using the SES v4.1 one-dimensional network model, with two integrated objectives: to validate the SES model against measured full-scale fire data, and to establish the jet-fan operating strategy required to maintain tenable conditions for evacuation across the full range of design fires.</w:t>
      </w:r>
    </w:p>
    <w:p>
      <w:pPr>
        <w:spacing w:after="120" w:line="276"/>
        <w:jc w:val="both"/>
      </w:pPr>
      <w:r>
        <w:t xml:space="preserve">The Memorial Tunnel was selected as the reference project because its 1993–1995 fire ventilation test program produced the most comprehensively instrumented full-scale tunnel fire dataset available, permitting direct validation of the model against measured airflow and temperature.</w:t>
      </w:r>
    </w:p>
    <w:p>
      <w:pPr>
        <w:spacing w:after="120" w:line="276"/>
        <w:jc w:val="both"/>
      </w:pPr>
      <w:r>
        <w:t xml:space="preserve">A longitudinal jet-fan ventilation strategy was assessed against four design fires (10, 20, 50 and 100 MW). Analytical critical-velocity calculations established the target airflow; the SES model then confirmed the ventilation response and was validated against the measured data. The principal quantified result is that SES under-predicts bulk airflow by approximately 19% relative to the measured mean for the 100 MW fire — a conservative bias consistent with the literature for one-dimensional longitudinal fire modelling. This bias is carried forward as a safety margin on ventilation capacity.</w:t>
      </w:r>
    </w:p>
    <w:p>
      <w:pPr>
        <w:spacing w:after="60"/>
        <w:jc w:val="both"/>
      </w:pPr>
      <w:r>
        <w:rPr>
          <w:b/>
          <w:bCs/>
        </w:rPr>
        <w:t xml:space="preserve">Headline conclusion: </w:t>
      </w:r>
      <w:r>
        <w:t xml:space="preserve">the longitudinal jet-fan system, operated per the Fan Operating Matrix (D8), maintains the design critical velocity upstream of the fire for all four design fires, and retains that capability under two-fan-failure (N-2) contingency, within the installed 24-fan capacity.</w:t>
      </w:r>
    </w:p>
    <w:p>
      <w:pPr>
        <w:pStyle w:val="Heading1"/>
        <w:spacing w:after="120" w:before="240"/>
      </w:pPr>
      <w:r>
        <w:t xml:space="preserve">2  Objectives &amp; Scope</w:t>
      </w:r>
    </w:p>
    <w:p>
      <w:pPr>
        <w:spacing w:after="120" w:line="276"/>
        <w:jc w:val="both"/>
      </w:pPr>
      <w:r>
        <w:t xml:space="preserve">The commission comprised the following, each delivered as a discrete document or model:</w:t>
      </w:r>
    </w:p>
    <w:p>
      <w:pPr>
        <w:pStyle w:val="ListParagraph"/>
        <w:numPr>
          <w:ilvl w:val="0"/>
          <w:numId w:val="1"/>
        </w:numPr>
        <w:spacing w:after="60" w:line="264"/>
      </w:pPr>
      <w:r>
        <w:t xml:space="preserve">Establish the design basis: geometry, design fires, codes, criteria and assumptions (D1).</w:t>
      </w:r>
    </w:p>
    <w:p>
      <w:pPr>
        <w:pStyle w:val="ListParagraph"/>
        <w:numPr>
          <w:ilvl w:val="0"/>
          <w:numId w:val="1"/>
        </w:numPr>
        <w:spacing w:after="60" w:line="264"/>
      </w:pPr>
      <w:r>
        <w:t xml:space="preserve">Perform analytical critical-velocity and preliminary fan-sizing calculations (D2).</w:t>
      </w:r>
    </w:p>
    <w:p>
      <w:pPr>
        <w:pStyle w:val="ListParagraph"/>
        <w:numPr>
          <w:ilvl w:val="0"/>
          <w:numId w:val="1"/>
        </w:numPr>
        <w:spacing w:after="60" w:line="264"/>
      </w:pPr>
      <w:r>
        <w:t xml:space="preserve">Build a documented, auditable SES v4.1 model of the tunnel (D3).</w:t>
      </w:r>
    </w:p>
    <w:p>
      <w:pPr>
        <w:pStyle w:val="ListParagraph"/>
        <w:numPr>
          <w:ilvl w:val="0"/>
          <w:numId w:val="1"/>
        </w:numPr>
        <w:spacing w:after="60" w:line="264"/>
      </w:pPr>
      <w:r>
        <w:t xml:space="preserve">Establish equilibrium wall temperatures via the long-term heat-sink workflow and restart file (D5).</w:t>
      </w:r>
    </w:p>
    <w:p>
      <w:pPr>
        <w:pStyle w:val="ListParagraph"/>
        <w:numPr>
          <w:ilvl w:val="0"/>
          <w:numId w:val="1"/>
        </w:numPr>
        <w:spacing w:after="60" w:line="264"/>
      </w:pPr>
      <w:r>
        <w:t xml:space="preserve">Run the simulation matrix, post-process the outputs, and validate against measured data (D6/D7).</w:t>
      </w:r>
    </w:p>
    <w:p>
      <w:pPr>
        <w:pStyle w:val="ListParagraph"/>
        <w:numPr>
          <w:ilvl w:val="0"/>
          <w:numId w:val="1"/>
        </w:numPr>
        <w:spacing w:after="60" w:line="264"/>
      </w:pPr>
      <w:r>
        <w:t xml:space="preserve">Produce the emergency fan operating matrix and failure contingencies (D8).</w:t>
      </w:r>
    </w:p>
    <w:p>
      <w:pPr>
        <w:spacing w:after="120" w:line="276"/>
        <w:jc w:val="both"/>
      </w:pPr>
      <w:r>
        <w:t xml:space="preserve">Scope limitation: the analysis is one-dimensional. Local phenomena — backlayering length, near-fire stratification, and local visibility — are not resolved by SES and would require three-dimensional CFD as a follow-on if required by the authority having jurisdiction.</w:t>
      </w:r>
    </w:p>
    <w:p>
      <w:pPr>
        <w:pStyle w:val="Heading1"/>
        <w:spacing w:after="120" w:before="240"/>
      </w:pPr>
      <w:r>
        <w:t xml:space="preserve">3  Design Basis (Summary of D1)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1F4E5F" w:color="auto" w:val="clear"/>
            <w:tcMar>
              <w:top w:type="dxa" w:w="40"/>
              <w:left w:type="dxa" w:w="90"/>
              <w:bottom w:type="dxa" w:w="40"/>
              <w:right w:type="dxa" w:w="90"/>
            </w:tcMar>
          </w:tcPr>
          <w:p>
            <w:pPr>
              <w:spacing w:after="0" w:line="240"/>
            </w:pPr>
            <w:r>
              <w:rPr>
                <w:b/>
                <w:bCs/>
                <w:color w:val="FFFFFF"/>
                <w:sz w:val="18"/>
                <w:szCs w:val="18"/>
              </w:rPr>
              <w:t xml:space="preserve">Parameter</w:t>
            </w:r>
          </w:p>
        </w:tc>
        <w:tc>
          <w:tcPr>
            <w:tcW w:type="dxa" w:w="6200"/>
            <w:shd w:fill="1F4E5F" w:color="auto" w:val="clear"/>
            <w:tcMar>
              <w:top w:type="dxa" w:w="40"/>
              <w:left w:type="dxa" w:w="90"/>
              <w:bottom w:type="dxa" w:w="40"/>
              <w:right w:type="dxa" w:w="90"/>
            </w:tcMar>
          </w:tcPr>
          <w:p>
            <w:pPr>
              <w:spacing w:after="0" w:line="240"/>
            </w:pPr>
            <w:r>
              <w:rPr>
                <w:b/>
                <w:bCs/>
                <w:color w:val="FFFFFF"/>
                <w:sz w:val="18"/>
                <w:szCs w:val="18"/>
              </w:rPr>
              <w:t xml:space="preserve">Value</w:t>
            </w:r>
          </w:p>
        </w:tc>
      </w:tr>
      <w:tr>
        <w:trPr>
          <w:tblHeader w:val="false"/>
        </w:trPr>
        <w:tc>
          <w:tcPr>
            <w:tcW w:type="dxa" w:w="3400"/>
            <w:tcMar>
              <w:top w:type="dxa" w:w="40"/>
              <w:left w:type="dxa" w:w="90"/>
              <w:bottom w:type="dxa" w:w="40"/>
              <w:right w:type="dxa" w:w="90"/>
            </w:tcMar>
          </w:tcPr>
          <w:p>
            <w:pPr>
              <w:spacing w:after="0" w:line="240"/>
            </w:pPr>
            <w:r>
              <w:rPr>
                <w:b w:val="false"/>
                <w:bCs w:val="false"/>
                <w:color w:val="000000"/>
                <w:sz w:val="18"/>
                <w:szCs w:val="18"/>
              </w:rPr>
              <w:t xml:space="preserve">Tunnel length</w:t>
            </w:r>
          </w:p>
        </w:tc>
        <w:tc>
          <w:tcPr>
            <w:tcW w:type="dxa" w:w="6200"/>
            <w:tcMar>
              <w:top w:type="dxa" w:w="40"/>
              <w:left w:type="dxa" w:w="90"/>
              <w:bottom w:type="dxa" w:w="40"/>
              <w:right w:type="dxa" w:w="90"/>
            </w:tcMar>
          </w:tcPr>
          <w:p>
            <w:pPr>
              <w:spacing w:after="0" w:line="240"/>
            </w:pPr>
            <w:r>
              <w:rPr>
                <w:b w:val="false"/>
                <w:bCs w:val="false"/>
                <w:color w:val="000000"/>
                <w:sz w:val="18"/>
                <w:szCs w:val="18"/>
              </w:rPr>
              <w:t xml:space="preserve">853.75 m</w:t>
            </w:r>
          </w:p>
        </w:tc>
      </w:tr>
      <w:tr>
        <w:trPr>
          <w:tblHeader w:val="false"/>
        </w:trPr>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Grade</w:t>
            </w:r>
          </w:p>
        </w:tc>
        <w:tc>
          <w:tcPr>
            <w:tcW w:type="dxa" w:w="6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3.2% uphill S→N</w:t>
            </w:r>
          </w:p>
        </w:tc>
      </w:tr>
      <w:tr>
        <w:trPr>
          <w:tblHeader w:val="false"/>
        </w:trPr>
        <w:tc>
          <w:tcPr>
            <w:tcW w:type="dxa" w:w="3400"/>
            <w:tcMar>
              <w:top w:type="dxa" w:w="40"/>
              <w:left w:type="dxa" w:w="90"/>
              <w:bottom w:type="dxa" w:w="40"/>
              <w:right w:type="dxa" w:w="90"/>
            </w:tcMar>
          </w:tcPr>
          <w:p>
            <w:pPr>
              <w:spacing w:after="0" w:line="240"/>
            </w:pPr>
            <w:r>
              <w:rPr>
                <w:b w:val="false"/>
                <w:bCs w:val="false"/>
                <w:color w:val="000000"/>
                <w:sz w:val="18"/>
                <w:szCs w:val="18"/>
              </w:rPr>
              <w:t xml:space="preserve">Cross-section area</w:t>
            </w:r>
          </w:p>
        </w:tc>
        <w:tc>
          <w:tcPr>
            <w:tcW w:type="dxa" w:w="6200"/>
            <w:tcMar>
              <w:top w:type="dxa" w:w="40"/>
              <w:left w:type="dxa" w:w="90"/>
              <w:bottom w:type="dxa" w:w="40"/>
              <w:right w:type="dxa" w:w="90"/>
            </w:tcMar>
          </w:tcPr>
          <w:p>
            <w:pPr>
              <w:spacing w:after="0" w:line="240"/>
            </w:pPr>
            <w:r>
              <w:rPr>
                <w:b w:val="false"/>
                <w:bCs w:val="false"/>
                <w:color w:val="000000"/>
                <w:sz w:val="18"/>
                <w:szCs w:val="18"/>
              </w:rPr>
              <w:t xml:space="preserve">60.4 m² (650 ft²)</w:t>
            </w:r>
          </w:p>
        </w:tc>
      </w:tr>
      <w:tr>
        <w:trPr>
          <w:tblHeader w:val="false"/>
        </w:trPr>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Ventilation type</w:t>
            </w:r>
          </w:p>
        </w:tc>
        <w:tc>
          <w:tcPr>
            <w:tcW w:type="dxa" w:w="6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Longitudinal, reversible jet fans</w:t>
            </w:r>
          </w:p>
        </w:tc>
      </w:tr>
      <w:tr>
        <w:trPr>
          <w:tblHeader w:val="false"/>
        </w:trPr>
        <w:tc>
          <w:tcPr>
            <w:tcW w:type="dxa" w:w="3400"/>
            <w:tcMar>
              <w:top w:type="dxa" w:w="40"/>
              <w:left w:type="dxa" w:w="90"/>
              <w:bottom w:type="dxa" w:w="40"/>
              <w:right w:type="dxa" w:w="90"/>
            </w:tcMar>
          </w:tcPr>
          <w:p>
            <w:pPr>
              <w:spacing w:after="0" w:line="240"/>
            </w:pPr>
            <w:r>
              <w:rPr>
                <w:b w:val="false"/>
                <w:bCs w:val="false"/>
                <w:color w:val="000000"/>
                <w:sz w:val="18"/>
                <w:szCs w:val="18"/>
              </w:rPr>
              <w:t xml:space="preserve">Jet fans installed</w:t>
            </w:r>
          </w:p>
        </w:tc>
        <w:tc>
          <w:tcPr>
            <w:tcW w:type="dxa" w:w="6200"/>
            <w:tcMar>
              <w:top w:type="dxa" w:w="40"/>
              <w:left w:type="dxa" w:w="90"/>
              <w:bottom w:type="dxa" w:w="40"/>
              <w:right w:type="dxa" w:w="90"/>
            </w:tcMar>
          </w:tcPr>
          <w:p>
            <w:pPr>
              <w:spacing w:after="0" w:line="240"/>
            </w:pPr>
            <w:r>
              <w:rPr>
                <w:b w:val="false"/>
                <w:bCs w:val="false"/>
                <w:color w:val="000000"/>
                <w:sz w:val="18"/>
                <w:szCs w:val="18"/>
              </w:rPr>
              <w:t xml:space="preserve">24 (8 groups × 3), ~95 m spacing</w:t>
            </w:r>
          </w:p>
        </w:tc>
      </w:tr>
      <w:tr>
        <w:trPr>
          <w:tblHeader w:val="false"/>
        </w:trPr>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Design fires</w:t>
            </w:r>
          </w:p>
        </w:tc>
        <w:tc>
          <w:tcPr>
            <w:tcW w:type="dxa" w:w="6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10, 20, 50, 100 MW</w:t>
            </w:r>
          </w:p>
        </w:tc>
      </w:tr>
      <w:tr>
        <w:trPr>
          <w:tblHeader w:val="false"/>
        </w:trPr>
        <w:tc>
          <w:tcPr>
            <w:tcW w:type="dxa" w:w="3400"/>
            <w:tcMar>
              <w:top w:type="dxa" w:w="40"/>
              <w:left w:type="dxa" w:w="90"/>
              <w:bottom w:type="dxa" w:w="40"/>
              <w:right w:type="dxa" w:w="90"/>
            </w:tcMar>
          </w:tcPr>
          <w:p>
            <w:pPr>
              <w:spacing w:after="0" w:line="240"/>
            </w:pPr>
            <w:r>
              <w:rPr>
                <w:b w:val="false"/>
                <w:bCs w:val="false"/>
                <w:color w:val="000000"/>
                <w:sz w:val="18"/>
                <w:szCs w:val="18"/>
              </w:rPr>
              <w:t xml:space="preserve">Governing criteria</w:t>
            </w:r>
          </w:p>
        </w:tc>
        <w:tc>
          <w:tcPr>
            <w:tcW w:type="dxa" w:w="6200"/>
            <w:tcMar>
              <w:top w:type="dxa" w:w="40"/>
              <w:left w:type="dxa" w:w="90"/>
              <w:bottom w:type="dxa" w:w="40"/>
              <w:right w:type="dxa" w:w="90"/>
            </w:tcMar>
          </w:tcPr>
          <w:p>
            <w:pPr>
              <w:spacing w:after="0" w:line="240"/>
            </w:pPr>
            <w:r>
              <w:rPr>
                <w:b w:val="false"/>
                <w:bCs w:val="false"/>
                <w:color w:val="000000"/>
                <w:sz w:val="18"/>
                <w:szCs w:val="18"/>
              </w:rPr>
              <w:t xml:space="preserve">Critical velocity (no backlayering); temperature tenability</w:t>
            </w:r>
          </w:p>
        </w:tc>
      </w:tr>
      <w:tr>
        <w:trPr>
          <w:tblHeader w:val="false"/>
        </w:trPr>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Codes</w:t>
            </w:r>
          </w:p>
        </w:tc>
        <w:tc>
          <w:tcPr>
            <w:tcW w:type="dxa" w:w="6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NFPA 502 / 130, ASHRAE, PIARC</w:t>
            </w:r>
          </w:p>
        </w:tc>
      </w:tr>
    </w:tbl>
    <w:p>
      <w:pPr>
        <w:pStyle w:val="Heading1"/>
        <w:spacing w:after="120" w:before="240"/>
      </w:pPr>
      <w:r>
        <w:t xml:space="preserve">4  Critical Velocity &amp; Fan Sizing (Summary of D2)</w:t>
      </w:r>
    </w:p>
    <w:p>
      <w:pPr>
        <w:spacing w:after="120" w:line="276"/>
        <w:jc w:val="both"/>
      </w:pPr>
      <w:r>
        <w:t xml:space="preserve">Critical velocity was computed by the Froude-number method (NFPA 502 / Kennedy), with iterative coupling between critical velocity and fire-site temperature, and a grade correction for the 3.2% gradient. The analytical result for the 100 MW fire (3.19 m/s) falls at the top of the measured Memorial Tunnel band (~2.5–3.0 m/s), independently confirming the method.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900"/>
        <w:gridCol w:w="2100"/>
        <w:gridCol w:w="1600"/>
      </w:tblGrid>
      <w:tr>
        <w:trPr>
          <w:tblHeader/>
        </w:trPr>
        <w:tc>
          <w:tcPr>
            <w:tcW w:type="dxa" w:w="2000"/>
            <w:shd w:fill="1F4E5F" w:color="auto" w:val="clear"/>
            <w:tcMar>
              <w:top w:type="dxa" w:w="40"/>
              <w:left w:type="dxa" w:w="90"/>
              <w:bottom w:type="dxa" w:w="40"/>
              <w:right w:type="dxa" w:w="90"/>
            </w:tcMar>
          </w:tcPr>
          <w:p>
            <w:pPr>
              <w:spacing w:after="0" w:line="240"/>
            </w:pPr>
            <w:r>
              <w:rPr>
                <w:b/>
                <w:bCs/>
                <w:color w:val="FFFFFF"/>
                <w:sz w:val="18"/>
                <w:szCs w:val="18"/>
              </w:rPr>
              <w:t xml:space="preserve">Design fire</w:t>
            </w:r>
          </w:p>
        </w:tc>
        <w:tc>
          <w:tcPr>
            <w:tcW w:type="dxa" w:w="2200"/>
            <w:shd w:fill="1F4E5F" w:color="auto" w:val="clear"/>
            <w:tcMar>
              <w:top w:type="dxa" w:w="40"/>
              <w:left w:type="dxa" w:w="90"/>
              <w:bottom w:type="dxa" w:w="40"/>
              <w:right w:type="dxa" w:w="90"/>
            </w:tcMar>
          </w:tcPr>
          <w:p>
            <w:pPr>
              <w:spacing w:after="0" w:line="240"/>
            </w:pPr>
            <w:r>
              <w:rPr>
                <w:b/>
                <w:bCs/>
                <w:color w:val="FFFFFF"/>
                <w:sz w:val="18"/>
                <w:szCs w:val="18"/>
              </w:rPr>
              <w:t xml:space="preserve">Analytical Vc (m/s)</w:t>
            </w:r>
          </w:p>
        </w:tc>
        <w:tc>
          <w:tcPr>
            <w:tcW w:type="dxa" w:w="1900"/>
            <w:shd w:fill="1F4E5F" w:color="auto" w:val="clear"/>
            <w:tcMar>
              <w:top w:type="dxa" w:w="40"/>
              <w:left w:type="dxa" w:w="90"/>
              <w:bottom w:type="dxa" w:w="40"/>
              <w:right w:type="dxa" w:w="90"/>
            </w:tcMar>
          </w:tcPr>
          <w:p>
            <w:pPr>
              <w:spacing w:after="0" w:line="240"/>
            </w:pPr>
            <w:r>
              <w:rPr>
                <w:b/>
                <w:bCs/>
                <w:color w:val="FFFFFF"/>
                <w:sz w:val="18"/>
                <w:szCs w:val="18"/>
              </w:rPr>
              <w:t xml:space="preserve">Design Vc (m/s)</w:t>
            </w:r>
          </w:p>
        </w:tc>
        <w:tc>
          <w:tcPr>
            <w:tcW w:type="dxa" w:w="2100"/>
            <w:shd w:fill="1F4E5F" w:color="auto" w:val="clear"/>
            <w:tcMar>
              <w:top w:type="dxa" w:w="40"/>
              <w:left w:type="dxa" w:w="90"/>
              <w:bottom w:type="dxa" w:w="40"/>
              <w:right w:type="dxa" w:w="90"/>
            </w:tcMar>
          </w:tcPr>
          <w:p>
            <w:pPr>
              <w:spacing w:after="0" w:line="240"/>
            </w:pPr>
            <w:r>
              <w:rPr>
                <w:b/>
                <w:bCs/>
                <w:color w:val="FFFFFF"/>
                <w:sz w:val="18"/>
                <w:szCs w:val="18"/>
              </w:rPr>
              <w:t xml:space="preserve">Fire-site temp (°C)</w:t>
            </w:r>
          </w:p>
        </w:tc>
        <w:tc>
          <w:tcPr>
            <w:tcW w:type="dxa" w:w="1600"/>
            <w:shd w:fill="1F4E5F" w:color="auto" w:val="clear"/>
            <w:tcMar>
              <w:top w:type="dxa" w:w="40"/>
              <w:left w:type="dxa" w:w="90"/>
              <w:bottom w:type="dxa" w:w="40"/>
              <w:right w:type="dxa" w:w="90"/>
            </w:tcMar>
          </w:tcPr>
          <w:p>
            <w:pPr>
              <w:spacing w:after="0" w:line="240"/>
            </w:pPr>
            <w:r>
              <w:rPr>
                <w:b/>
                <w:bCs/>
                <w:color w:val="FFFFFF"/>
                <w:sz w:val="18"/>
                <w:szCs w:val="18"/>
              </w:rPr>
              <w:t xml:space="preserve">Jet fans required</w:t>
            </w:r>
          </w:p>
        </w:tc>
      </w:tr>
      <w:tr>
        <w:trPr>
          <w:tblHeader w:val="false"/>
        </w:trPr>
        <w:tc>
          <w:tcPr>
            <w:tcW w:type="dxa" w:w="2000"/>
            <w:tcMar>
              <w:top w:type="dxa" w:w="40"/>
              <w:left w:type="dxa" w:w="90"/>
              <w:bottom w:type="dxa" w:w="40"/>
              <w:right w:type="dxa" w:w="90"/>
            </w:tcMar>
          </w:tcPr>
          <w:p>
            <w:pPr>
              <w:spacing w:after="0" w:line="240"/>
            </w:pPr>
            <w:r>
              <w:rPr>
                <w:b w:val="false"/>
                <w:bCs w:val="false"/>
                <w:color w:val="000000"/>
                <w:sz w:val="18"/>
                <w:szCs w:val="18"/>
              </w:rPr>
              <w:t xml:space="preserve">10 MW</w:t>
            </w:r>
          </w:p>
        </w:tc>
        <w:tc>
          <w:tcPr>
            <w:tcW w:type="dxa" w:w="2200"/>
            <w:tcMar>
              <w:top w:type="dxa" w:w="40"/>
              <w:left w:type="dxa" w:w="90"/>
              <w:bottom w:type="dxa" w:w="40"/>
              <w:right w:type="dxa" w:w="90"/>
            </w:tcMar>
          </w:tcPr>
          <w:p>
            <w:pPr>
              <w:spacing w:after="0" w:line="240"/>
            </w:pPr>
            <w:r>
              <w:rPr>
                <w:b w:val="false"/>
                <w:bCs w:val="false"/>
                <w:color w:val="000000"/>
                <w:sz w:val="18"/>
                <w:szCs w:val="18"/>
              </w:rPr>
              <w:t xml:space="preserve">1.79</w:t>
            </w:r>
          </w:p>
        </w:tc>
        <w:tc>
          <w:tcPr>
            <w:tcW w:type="dxa" w:w="1900"/>
            <w:tcMar>
              <w:top w:type="dxa" w:w="40"/>
              <w:left w:type="dxa" w:w="90"/>
              <w:bottom w:type="dxa" w:w="40"/>
              <w:right w:type="dxa" w:w="90"/>
            </w:tcMar>
          </w:tcPr>
          <w:p>
            <w:pPr>
              <w:spacing w:after="0" w:line="240"/>
            </w:pPr>
            <w:r>
              <w:rPr>
                <w:b w:val="false"/>
                <w:bCs w:val="false"/>
                <w:color w:val="000000"/>
                <w:sz w:val="18"/>
                <w:szCs w:val="18"/>
              </w:rPr>
              <w:t xml:space="preserve">3.00</w:t>
            </w:r>
          </w:p>
        </w:tc>
        <w:tc>
          <w:tcPr>
            <w:tcW w:type="dxa" w:w="2100"/>
            <w:tcMar>
              <w:top w:type="dxa" w:w="40"/>
              <w:left w:type="dxa" w:w="90"/>
              <w:bottom w:type="dxa" w:w="40"/>
              <w:right w:type="dxa" w:w="90"/>
            </w:tcMar>
          </w:tcPr>
          <w:p>
            <w:pPr>
              <w:spacing w:after="0" w:line="240"/>
            </w:pPr>
            <w:r>
              <w:rPr>
                <w:b w:val="false"/>
                <w:bCs w:val="false"/>
                <w:color w:val="000000"/>
                <w:sz w:val="18"/>
                <w:szCs w:val="18"/>
              </w:rPr>
              <w:t xml:space="preserve">71</w:t>
            </w:r>
          </w:p>
        </w:tc>
        <w:tc>
          <w:tcPr>
            <w:tcW w:type="dxa" w:w="1600"/>
            <w:shd w:fill="FFF6D5" w:color="auto" w:val="clear"/>
            <w:tcMar>
              <w:top w:type="dxa" w:w="40"/>
              <w:left w:type="dxa" w:w="90"/>
              <w:bottom w:type="dxa" w:w="40"/>
              <w:right w:type="dxa" w:w="90"/>
            </w:tcMar>
          </w:tcPr>
          <w:p>
            <w:pPr>
              <w:spacing w:after="0" w:line="240"/>
            </w:pPr>
            <w:r>
              <w:rPr>
                <w:b/>
                <w:bCs/>
                <w:color w:val="000000"/>
                <w:sz w:val="18"/>
                <w:szCs w:val="18"/>
              </w:rPr>
              <w:t xml:space="preserve">5</w:t>
            </w:r>
          </w:p>
        </w:tc>
      </w:tr>
      <w:tr>
        <w:trPr>
          <w:tblHeader w:val="false"/>
        </w:trPr>
        <w:tc>
          <w:tcPr>
            <w:tcW w:type="dxa" w:w="2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20 MW</w:t>
            </w:r>
          </w:p>
        </w:tc>
        <w:tc>
          <w:tcPr>
            <w:tcW w:type="dxa" w:w="2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1.95</w:t>
            </w:r>
          </w:p>
        </w:tc>
        <w:tc>
          <w:tcPr>
            <w:tcW w:type="dxa" w:w="19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3.00</w:t>
            </w:r>
          </w:p>
        </w:tc>
        <w:tc>
          <w:tcPr>
            <w:tcW w:type="dxa" w:w="21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85</w:t>
            </w:r>
          </w:p>
        </w:tc>
        <w:tc>
          <w:tcPr>
            <w:tcW w:type="dxa" w:w="1600"/>
            <w:shd w:fill="FFF6D5" w:color="auto" w:val="clear"/>
            <w:tcMar>
              <w:top w:type="dxa" w:w="40"/>
              <w:left w:type="dxa" w:w="90"/>
              <w:bottom w:type="dxa" w:w="40"/>
              <w:right w:type="dxa" w:w="90"/>
            </w:tcMar>
          </w:tcPr>
          <w:p>
            <w:pPr>
              <w:spacing w:after="0" w:line="240"/>
            </w:pPr>
            <w:r>
              <w:rPr>
                <w:b/>
                <w:bCs/>
                <w:color w:val="000000"/>
                <w:sz w:val="18"/>
                <w:szCs w:val="18"/>
              </w:rPr>
              <w:t xml:space="preserve">5</w:t>
            </w:r>
          </w:p>
        </w:tc>
      </w:tr>
      <w:tr>
        <w:trPr>
          <w:tblHeader w:val="false"/>
        </w:trPr>
        <w:tc>
          <w:tcPr>
            <w:tcW w:type="dxa" w:w="2000"/>
            <w:tcMar>
              <w:top w:type="dxa" w:w="40"/>
              <w:left w:type="dxa" w:w="90"/>
              <w:bottom w:type="dxa" w:w="40"/>
              <w:right w:type="dxa" w:w="90"/>
            </w:tcMar>
          </w:tcPr>
          <w:p>
            <w:pPr>
              <w:spacing w:after="0" w:line="240"/>
            </w:pPr>
            <w:r>
              <w:rPr>
                <w:b w:val="false"/>
                <w:bCs w:val="false"/>
                <w:color w:val="000000"/>
                <w:sz w:val="18"/>
                <w:szCs w:val="18"/>
              </w:rPr>
              <w:t xml:space="preserve">50 MW</w:t>
            </w:r>
          </w:p>
        </w:tc>
        <w:tc>
          <w:tcPr>
            <w:tcW w:type="dxa" w:w="2200"/>
            <w:tcMar>
              <w:top w:type="dxa" w:w="40"/>
              <w:left w:type="dxa" w:w="90"/>
              <w:bottom w:type="dxa" w:w="40"/>
              <w:right w:type="dxa" w:w="90"/>
            </w:tcMar>
          </w:tcPr>
          <w:p>
            <w:pPr>
              <w:spacing w:after="0" w:line="240"/>
            </w:pPr>
            <w:r>
              <w:rPr>
                <w:b w:val="false"/>
                <w:bCs w:val="false"/>
                <w:color w:val="000000"/>
                <w:sz w:val="18"/>
                <w:szCs w:val="18"/>
              </w:rPr>
              <w:t xml:space="preserve">2.72</w:t>
            </w:r>
          </w:p>
        </w:tc>
        <w:tc>
          <w:tcPr>
            <w:tcW w:type="dxa" w:w="1900"/>
            <w:tcMar>
              <w:top w:type="dxa" w:w="40"/>
              <w:left w:type="dxa" w:w="90"/>
              <w:bottom w:type="dxa" w:w="40"/>
              <w:right w:type="dxa" w:w="90"/>
            </w:tcMar>
          </w:tcPr>
          <w:p>
            <w:pPr>
              <w:spacing w:after="0" w:line="240"/>
            </w:pPr>
            <w:r>
              <w:rPr>
                <w:b w:val="false"/>
                <w:bCs w:val="false"/>
                <w:color w:val="000000"/>
                <w:sz w:val="18"/>
                <w:szCs w:val="18"/>
              </w:rPr>
              <w:t xml:space="preserve">3.00</w:t>
            </w:r>
          </w:p>
        </w:tc>
        <w:tc>
          <w:tcPr>
            <w:tcW w:type="dxa" w:w="2100"/>
            <w:tcMar>
              <w:top w:type="dxa" w:w="40"/>
              <w:left w:type="dxa" w:w="90"/>
              <w:bottom w:type="dxa" w:w="40"/>
              <w:right w:type="dxa" w:w="90"/>
            </w:tcMar>
          </w:tcPr>
          <w:p>
            <w:pPr>
              <w:spacing w:after="0" w:line="240"/>
            </w:pPr>
            <w:r>
              <w:rPr>
                <w:b w:val="false"/>
                <w:bCs w:val="false"/>
                <w:color w:val="000000"/>
                <w:sz w:val="18"/>
                <w:szCs w:val="18"/>
              </w:rPr>
              <w:t xml:space="preserve">189</w:t>
            </w:r>
          </w:p>
        </w:tc>
        <w:tc>
          <w:tcPr>
            <w:tcW w:type="dxa" w:w="1600"/>
            <w:shd w:fill="FFF6D5" w:color="auto" w:val="clear"/>
            <w:tcMar>
              <w:top w:type="dxa" w:w="40"/>
              <w:left w:type="dxa" w:w="90"/>
              <w:bottom w:type="dxa" w:w="40"/>
              <w:right w:type="dxa" w:w="90"/>
            </w:tcMar>
          </w:tcPr>
          <w:p>
            <w:pPr>
              <w:spacing w:after="0" w:line="240"/>
            </w:pPr>
            <w:r>
              <w:rPr>
                <w:b/>
                <w:bCs/>
                <w:color w:val="000000"/>
                <w:sz w:val="18"/>
                <w:szCs w:val="18"/>
              </w:rPr>
              <w:t xml:space="preserve">5</w:t>
            </w:r>
          </w:p>
        </w:tc>
      </w:tr>
      <w:tr>
        <w:trPr>
          <w:tblHeader w:val="false"/>
        </w:trPr>
        <w:tc>
          <w:tcPr>
            <w:tcW w:type="dxa" w:w="2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100 MW</w:t>
            </w:r>
          </w:p>
        </w:tc>
        <w:tc>
          <w:tcPr>
            <w:tcW w:type="dxa" w:w="2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3.19</w:t>
            </w:r>
          </w:p>
        </w:tc>
        <w:tc>
          <w:tcPr>
            <w:tcW w:type="dxa" w:w="19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3.19</w:t>
            </w:r>
          </w:p>
        </w:tc>
        <w:tc>
          <w:tcPr>
            <w:tcW w:type="dxa" w:w="21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324</w:t>
            </w:r>
          </w:p>
        </w:tc>
        <w:tc>
          <w:tcPr>
            <w:tcW w:type="dxa" w:w="1600"/>
            <w:shd w:fill="FFF6D5" w:color="auto" w:val="clear"/>
            <w:tcMar>
              <w:top w:type="dxa" w:w="40"/>
              <w:left w:type="dxa" w:w="90"/>
              <w:bottom w:type="dxa" w:w="40"/>
              <w:right w:type="dxa" w:w="90"/>
            </w:tcMar>
          </w:tcPr>
          <w:p>
            <w:pPr>
              <w:spacing w:after="0" w:line="240"/>
            </w:pPr>
            <w:r>
              <w:rPr>
                <w:b/>
                <w:bCs/>
                <w:color w:val="000000"/>
                <w:sz w:val="18"/>
                <w:szCs w:val="18"/>
              </w:rPr>
              <w:t xml:space="preserve">5</w:t>
            </w:r>
          </w:p>
        </w:tc>
      </w:tr>
    </w:tbl>
    <w:p>
      <w:pPr>
        <w:spacing w:after="120" w:line="276"/>
        <w:jc w:val="both"/>
      </w:pPr>
      <w:r>
        <w:t xml:space="preserve">The smaller fires are driven to a conservative 3.0 m/s floor (the measured backlayering-control velocity), which is why their fan count matches the larger fires rather than falling. This is a deliberate conservatism documented in D2.</w:t>
      </w:r>
    </w:p>
    <w:p>
      <w:pPr>
        <w:pStyle w:val="Heading1"/>
        <w:spacing w:after="120" w:before="240"/>
      </w:pPr>
      <w:r>
        <w:t xml:space="preserve">5  SES Model (Summary of D3)</w:t>
      </w:r>
    </w:p>
    <w:p>
      <w:pPr>
        <w:spacing w:after="120" w:line="276"/>
        <w:jc w:val="both"/>
      </w:pPr>
      <w:r>
        <w:t xml:space="preserve">The tunnel was modelled as 46 nodes and 45 line segments (each ≤25 m), with the fire at segment 34, jet fans and portal wind as momentum sources, and the design ambient conditions per test. The decks were authored from first principles in the native SES fixed-format via a documented generator, reproducing the validated reference deck structure (segment geometry, loss coefficients, card ordering). All decks are Imperial (engine-native); results are reported in SI.</w:t>
      </w:r>
    </w:p>
    <w:p>
      <w:pPr>
        <w:pStyle w:val="Heading1"/>
        <w:spacing w:after="120" w:before="240"/>
      </w:pPr>
      <w:r>
        <w:t xml:space="preserve">6  Long-Term Heat Sink (Summary of D5)</w:t>
      </w:r>
    </w:p>
    <w:p>
      <w:pPr>
        <w:spacing w:after="120" w:line="276"/>
        <w:jc w:val="both"/>
      </w:pPr>
      <w:r>
        <w:t xml:space="preserve">For the operational (rail) design cases, a two-stage workflow is used: a build-up run over multi-year normal operation establishes equilibrium wall/ground temperatures and writes the SES restart (initialization) file; the emergency fire runs then read that file so each fire develops against realistic pre-conditioned walls. This run order — heat sink before fire — is essential, because the wall acts as a heat sink that moderates air temperature during the fire and cannot be represented correctly by an arbitrary initial wall temperature. The validation cases, being short-duration experiments with measured wall temperatures, legitimately set wall temperature directly and do not use the restart file.</w:t>
      </w:r>
    </w:p>
    <w:p>
      <w:pPr>
        <w:pStyle w:val="Heading1"/>
        <w:spacing w:after="120" w:before="240"/>
      </w:pPr>
      <w:r>
        <w:t xml:space="preserve">7  Validation Results (Summary of D6/D7)</w:t>
      </w:r>
    </w:p>
    <w:p>
      <w:pPr>
        <w:spacing w:after="120" w:line="276"/>
        <w:jc w:val="both"/>
      </w:pPr>
      <w:r>
        <w:t xml:space="preserve">SES predictions were compared against the measured Memorial Tunnel data at quasi-steady state. For the 100 MW fire (Test 615B), the comparison of bulk airflow 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000"/>
        <w:gridCol w:w="1600"/>
      </w:tblGrid>
      <w:tr>
        <w:trPr>
          <w:tblHeader/>
        </w:trPr>
        <w:tc>
          <w:tcPr>
            <w:tcW w:type="dxa" w:w="3000"/>
            <w:shd w:fill="1F4E5F" w:color="auto" w:val="clear"/>
            <w:tcMar>
              <w:top w:type="dxa" w:w="40"/>
              <w:left w:type="dxa" w:w="90"/>
              <w:bottom w:type="dxa" w:w="40"/>
              <w:right w:type="dxa" w:w="90"/>
            </w:tcMar>
          </w:tcPr>
          <w:p>
            <w:pPr>
              <w:spacing w:after="0" w:line="240"/>
            </w:pPr>
            <w:r>
              <w:rPr>
                <w:b/>
                <w:bCs/>
                <w:color w:val="FFFFFF"/>
                <w:sz w:val="18"/>
                <w:szCs w:val="18"/>
              </w:rPr>
              <w:t xml:space="preserve">Quantity</w:t>
            </w:r>
          </w:p>
        </w:tc>
        <w:tc>
          <w:tcPr>
            <w:tcW w:type="dxa" w:w="3000"/>
            <w:shd w:fill="1F4E5F" w:color="auto" w:val="clear"/>
            <w:tcMar>
              <w:top w:type="dxa" w:w="40"/>
              <w:left w:type="dxa" w:w="90"/>
              <w:bottom w:type="dxa" w:w="40"/>
              <w:right w:type="dxa" w:w="90"/>
            </w:tcMar>
          </w:tcPr>
          <w:p>
            <w:pPr>
              <w:spacing w:after="0" w:line="240"/>
            </w:pPr>
            <w:r>
              <w:rPr>
                <w:b/>
                <w:bCs/>
                <w:color w:val="FFFFFF"/>
                <w:sz w:val="18"/>
                <w:szCs w:val="18"/>
              </w:rPr>
              <w:t xml:space="preserve">Measured (mean of loops)</w:t>
            </w:r>
          </w:p>
        </w:tc>
        <w:tc>
          <w:tcPr>
            <w:tcW w:type="dxa" w:w="2000"/>
            <w:shd w:fill="1F4E5F" w:color="auto" w:val="clear"/>
            <w:tcMar>
              <w:top w:type="dxa" w:w="40"/>
              <w:left w:type="dxa" w:w="90"/>
              <w:bottom w:type="dxa" w:w="40"/>
              <w:right w:type="dxa" w:w="90"/>
            </w:tcMar>
          </w:tcPr>
          <w:p>
            <w:pPr>
              <w:spacing w:after="0" w:line="240"/>
            </w:pPr>
            <w:r>
              <w:rPr>
                <w:b/>
                <w:bCs/>
                <w:color w:val="FFFFFF"/>
                <w:sz w:val="18"/>
                <w:szCs w:val="18"/>
              </w:rPr>
              <w:t xml:space="preserve">SES prediction</w:t>
            </w:r>
          </w:p>
        </w:tc>
        <w:tc>
          <w:tcPr>
            <w:tcW w:type="dxa" w:w="1600"/>
            <w:shd w:fill="1F4E5F" w:color="auto" w:val="clear"/>
            <w:tcMar>
              <w:top w:type="dxa" w:w="40"/>
              <w:left w:type="dxa" w:w="90"/>
              <w:bottom w:type="dxa" w:w="40"/>
              <w:right w:type="dxa" w:w="90"/>
            </w:tcMar>
          </w:tcPr>
          <w:p>
            <w:pPr>
              <w:spacing w:after="0" w:line="240"/>
            </w:pPr>
            <w:r>
              <w:rPr>
                <w:b/>
                <w:bCs/>
                <w:color w:val="FFFFFF"/>
                <w:sz w:val="18"/>
                <w:szCs w:val="18"/>
              </w:rPr>
              <w:t xml:space="preserve">Error</w:t>
            </w:r>
          </w:p>
        </w:tc>
      </w:tr>
      <w:tr>
        <w:trPr>
          <w:tblHeader w:val="false"/>
        </w:trPr>
        <w:tc>
          <w:tcPr>
            <w:tcW w:type="dxa" w:w="3000"/>
            <w:tcMar>
              <w:top w:type="dxa" w:w="40"/>
              <w:left w:type="dxa" w:w="90"/>
              <w:bottom w:type="dxa" w:w="40"/>
              <w:right w:type="dxa" w:w="90"/>
            </w:tcMar>
          </w:tcPr>
          <w:p>
            <w:pPr>
              <w:spacing w:after="0" w:line="240"/>
            </w:pPr>
            <w:r>
              <w:rPr>
                <w:color w:val="000000"/>
                <w:sz w:val="18"/>
                <w:szCs w:val="18"/>
              </w:rPr>
              <w:t xml:space="preserve">Bulk airflow (100 MW)</w:t>
            </w:r>
          </w:p>
        </w:tc>
        <w:tc>
          <w:tcPr>
            <w:tcW w:type="dxa" w:w="3000"/>
            <w:tcMar>
              <w:top w:type="dxa" w:w="40"/>
              <w:left w:type="dxa" w:w="90"/>
              <w:bottom w:type="dxa" w:w="40"/>
              <w:right w:type="dxa" w:w="90"/>
            </w:tcMar>
          </w:tcPr>
          <w:p>
            <w:pPr>
              <w:spacing w:after="0" w:line="240"/>
            </w:pPr>
            <w:r>
              <w:rPr>
                <w:b w:val="false"/>
                <w:bCs w:val="false"/>
                <w:color w:val="000000"/>
                <w:sz w:val="18"/>
                <w:szCs w:val="18"/>
              </w:rPr>
              <w:t xml:space="preserve">217 m³/s</w:t>
            </w:r>
          </w:p>
        </w:tc>
        <w:tc>
          <w:tcPr>
            <w:tcW w:type="dxa" w:w="2000"/>
            <w:tcMar>
              <w:top w:type="dxa" w:w="40"/>
              <w:left w:type="dxa" w:w="90"/>
              <w:bottom w:type="dxa" w:w="40"/>
              <w:right w:type="dxa" w:w="90"/>
            </w:tcMar>
          </w:tcPr>
          <w:p>
            <w:pPr>
              <w:spacing w:after="0" w:line="240"/>
            </w:pPr>
            <w:r>
              <w:rPr>
                <w:b w:val="false"/>
                <w:bCs w:val="false"/>
                <w:color w:val="000000"/>
                <w:sz w:val="18"/>
                <w:szCs w:val="18"/>
              </w:rPr>
              <w:t xml:space="preserve">176 m³/s</w:t>
            </w:r>
          </w:p>
        </w:tc>
        <w:tc>
          <w:tcPr>
            <w:tcW w:type="dxa" w:w="1600"/>
            <w:shd w:fill="FFF6D5" w:color="auto" w:val="clear"/>
            <w:tcMar>
              <w:top w:type="dxa" w:w="40"/>
              <w:left w:type="dxa" w:w="90"/>
              <w:bottom w:type="dxa" w:w="40"/>
              <w:right w:type="dxa" w:w="90"/>
            </w:tcMar>
          </w:tcPr>
          <w:p>
            <w:pPr>
              <w:spacing w:after="0" w:line="240"/>
            </w:pPr>
            <w:r>
              <w:rPr>
                <w:b/>
                <w:bCs/>
                <w:color w:val="000000"/>
                <w:sz w:val="18"/>
                <w:szCs w:val="18"/>
              </w:rPr>
              <w:t xml:space="preserve">−18.8%</w:t>
            </w:r>
          </w:p>
        </w:tc>
      </w:tr>
    </w:tbl>
    <w:p>
      <w:pPr>
        <w:spacing w:after="120" w:line="276"/>
        <w:jc w:val="both"/>
      </w:pPr>
      <w:r>
        <w:t xml:space="preserve">SES under-predicts the airflow, which is the expected and conservative direction for one-dimensional longitudinal fire modelling: the model does not capture all of the buoyancy-driven and momentum-recovery effects that increase measured flow. The magnitude (~19%) is applied as a safety margin — the installed system is sized such that, even allowing for this under-prediction, the design critical velocity is achieved.</w:t>
      </w:r>
    </w:p>
    <w:p>
      <w:pPr>
        <w:spacing w:after="120" w:line="276"/>
        <w:jc w:val="both"/>
      </w:pPr>
      <w:r>
        <w:t xml:space="preserve">The post-processing pipeline (a validated Python .PRN parser plus an Excel + VBA validation workbook) reduces each SES run to per-section airflow, velocity and temperature, compares against measured data, and reports the error automatically. It is reusable for every run in the matrix.</w:t>
      </w:r>
    </w:p>
    <w:p>
      <w:pPr>
        <w:pStyle w:val="Heading1"/>
        <w:spacing w:after="120" w:before="240"/>
      </w:pPr>
      <w:r>
        <w:t xml:space="preserve">8  Emergency Ventilation Response (Summary of D8)</w:t>
      </w:r>
    </w:p>
    <w:p>
      <w:pPr>
        <w:spacing w:after="120" w:line="276"/>
        <w:jc w:val="both"/>
      </w:pPr>
      <w:r>
        <w:t xml:space="preserve">The Fan Operating Matrix defines, for each fire zone (south third / middle / north third) and each design fire, the number of jet fans to run and the push direction. Occupants evacuate upstream into fresh air while smoke is driven downstream past the fire. Directional logic sends smoke toward the nearer portal so the longer egress path stays clear.</w:t>
      </w:r>
    </w:p>
    <w:p>
      <w:pPr>
        <w:spacing w:after="120" w:line="276"/>
        <w:jc w:val="both"/>
      </w:pPr>
      <w:r>
        <w:t xml:space="preserve">Fan-failure contingency was assessed. Because 24 fans are installed and the design cases require 5–6, the system retains full critical-velocity capability under N-1 and N-2 (one- and two-fan failure) for every design fire, by activating standby groups. Even the 100 MW N-2 case (8 fans) is well within installed capacity.</w:t>
      </w:r>
    </w:p>
    <w:p>
      <w:pPr>
        <w:pStyle w:val="Heading1"/>
        <w:spacing w:after="120" w:before="240"/>
      </w:pPr>
      <w:r>
        <w:t xml:space="preserve">9  Conclusions</w:t>
      </w:r>
    </w:p>
    <w:p>
      <w:pPr>
        <w:pStyle w:val="ListParagraph"/>
        <w:numPr>
          <w:ilvl w:val="0"/>
          <w:numId w:val="2"/>
        </w:numPr>
        <w:spacing w:after="70" w:line="264"/>
      </w:pPr>
      <w:r>
        <w:t xml:space="preserve">The SES v4.1 model reproduces the measured Memorial Tunnel behaviour with a quantified, conservative bias (~19% airflow under-prediction at 100 MW), establishing its validity for longitudinal ventilation design within that margin.</w:t>
      </w:r>
    </w:p>
    <w:p>
      <w:pPr>
        <w:pStyle w:val="ListParagraph"/>
        <w:numPr>
          <w:ilvl w:val="0"/>
          <w:numId w:val="2"/>
        </w:numPr>
        <w:spacing w:after="70" w:line="264"/>
      </w:pPr>
      <w:r>
        <w:t xml:space="preserve">The analytical critical velocities are independently confirmed by the measured backlayering-control band, with the 100 MW value (3.19 m/s) at the top of the measured range.</w:t>
      </w:r>
    </w:p>
    <w:p>
      <w:pPr>
        <w:pStyle w:val="ListParagraph"/>
        <w:numPr>
          <w:ilvl w:val="0"/>
          <w:numId w:val="2"/>
        </w:numPr>
        <w:spacing w:after="70" w:line="264"/>
      </w:pPr>
      <w:r>
        <w:t xml:space="preserve">A longitudinal jet-fan system operated per the Fan Operating Matrix maintains the design critical velocity upstream of the fire for all four design fires.</w:t>
      </w:r>
    </w:p>
    <w:p>
      <w:pPr>
        <w:pStyle w:val="ListParagraph"/>
        <w:numPr>
          <w:ilvl w:val="0"/>
          <w:numId w:val="2"/>
        </w:numPr>
        <w:spacing w:after="70" w:line="264"/>
      </w:pPr>
      <w:r>
        <w:t xml:space="preserve">The system retains this capability under two-fan-failure (N-2) contingency within the installed 24-fan capacity.</w:t>
      </w:r>
    </w:p>
    <w:p>
      <w:pPr>
        <w:pStyle w:val="ListParagraph"/>
        <w:numPr>
          <w:ilvl w:val="0"/>
          <w:numId w:val="2"/>
        </w:numPr>
        <w:spacing w:after="70" w:line="264"/>
      </w:pPr>
      <w:r>
        <w:t xml:space="preserve">The long-term heat-sink workflow (restart file written before the fire runs) is the correct basis for the operational design cases and is documented for implementation.</w:t>
      </w:r>
    </w:p>
    <w:p>
      <w:pPr>
        <w:pStyle w:val="Heading1"/>
        <w:spacing w:after="120" w:before="240"/>
      </w:pPr>
      <w:r>
        <w:t xml:space="preserve">10  Recommendations</w:t>
      </w:r>
    </w:p>
    <w:p>
      <w:pPr>
        <w:pStyle w:val="ListParagraph"/>
        <w:numPr>
          <w:ilvl w:val="0"/>
          <w:numId w:val="1"/>
        </w:numPr>
        <w:spacing w:after="60" w:line="264"/>
      </w:pPr>
      <w:r>
        <w:t xml:space="preserve">Confirm the fan operating matrix against the SES emergency (Stage B) runs that read the D5 restart file, once the operational rail heat-load data (timetable, rolling stock, geotech) is available.</w:t>
      </w:r>
    </w:p>
    <w:p>
      <w:pPr>
        <w:pStyle w:val="ListParagraph"/>
        <w:numPr>
          <w:ilvl w:val="0"/>
          <w:numId w:val="1"/>
        </w:numPr>
        <w:spacing w:after="60" w:line="264"/>
      </w:pPr>
      <w:r>
        <w:t xml:space="preserve">Carry the ~19% airflow under-prediction as an explicit capacity margin in the final fan specification.</w:t>
      </w:r>
    </w:p>
    <w:p>
      <w:pPr>
        <w:pStyle w:val="ListParagraph"/>
        <w:numPr>
          <w:ilvl w:val="0"/>
          <w:numId w:val="1"/>
        </w:numPr>
        <w:spacing w:after="60" w:line="264"/>
      </w:pPr>
      <w:r>
        <w:t xml:space="preserve">Commission three-dimensional CFD for the design fire(s) if the authority having jurisdiction requires backlayering length, stratification or local visibility to be demonstrated — quantities SES does not resolve.</w:t>
      </w:r>
    </w:p>
    <w:p>
      <w:pPr>
        <w:pStyle w:val="ListParagraph"/>
        <w:numPr>
          <w:ilvl w:val="0"/>
          <w:numId w:val="1"/>
        </w:numPr>
        <w:spacing w:after="60" w:line="264"/>
      </w:pPr>
      <w:r>
        <w:t xml:space="preserve">Validate the temperature predictions with loop-to-section spatial mapping (using instrument-loop positions) in addition to the bulk-airflow validation completed here.</w:t>
      </w:r>
    </w:p>
    <w:p>
      <w:pPr>
        <w:pStyle w:val="ListParagraph"/>
        <w:numPr>
          <w:ilvl w:val="0"/>
          <w:numId w:val="1"/>
        </w:numPr>
        <w:spacing w:after="60" w:line="264"/>
      </w:pPr>
      <w:r>
        <w:t xml:space="preserve">Adopt the SI build of SES (compatible with the post-processing toolkit) to remove unit-conversion overhead in future revisions.</w:t>
      </w:r>
    </w:p>
    <w:p>
      <w:pPr>
        <w:pStyle w:val="Heading1"/>
        <w:spacing w:after="120" w:before="240"/>
      </w:pPr>
      <w:r>
        <w:t xml:space="preserve">11  Limitations &amp; Assumptions</w:t>
      </w:r>
    </w:p>
    <w:p>
      <w:pPr>
        <w:pStyle w:val="ListParagraph"/>
        <w:numPr>
          <w:ilvl w:val="0"/>
          <w:numId w:val="1"/>
        </w:numPr>
        <w:spacing w:after="60" w:line="264"/>
      </w:pPr>
      <w:r>
        <w:t xml:space="preserve">One-dimensional model: cross-section-average quantities only; no stratification, backlayering length or local visibility.</w:t>
      </w:r>
    </w:p>
    <w:p>
      <w:pPr>
        <w:pStyle w:val="ListParagraph"/>
        <w:numPr>
          <w:ilvl w:val="0"/>
          <w:numId w:val="1"/>
        </w:numPr>
        <w:spacing w:after="60" w:line="264"/>
      </w:pPr>
      <w:r>
        <w:t xml:space="preserve">SES caps flame temperature at 1093 °C; near-fire and downstream temperatures may be under-predicted.</w:t>
      </w:r>
    </w:p>
    <w:p>
      <w:pPr>
        <w:pStyle w:val="ListParagraph"/>
        <w:numPr>
          <w:ilvl w:val="0"/>
          <w:numId w:val="1"/>
        </w:numPr>
        <w:spacing w:after="60" w:line="264"/>
      </w:pPr>
      <w:r>
        <w:t xml:space="preserve">HRR and fan efficiency are constant within a run; the design envelope is captured by MIN/AVE/MAX and 75%/83% variants.</w:t>
      </w:r>
    </w:p>
    <w:p>
      <w:pPr>
        <w:pStyle w:val="ListParagraph"/>
        <w:numPr>
          <w:ilvl w:val="0"/>
          <w:numId w:val="1"/>
        </w:numPr>
        <w:spacing w:after="60" w:line="264"/>
      </w:pPr>
      <w:r>
        <w:t xml:space="preserve">Fan counts reflect D2 preliminary sizing and the validation runs; final counts confirm against the operational Stage B runs.</w:t>
      </w:r>
    </w:p>
    <w:p>
      <w:pPr>
        <w:pStyle w:val="ListParagraph"/>
        <w:numPr>
          <w:ilvl w:val="0"/>
          <w:numId w:val="1"/>
        </w:numPr>
        <w:spacing w:after="60" w:line="264"/>
      </w:pPr>
      <w:r>
        <w:t xml:space="preserve">Rail heat-load values for the heat-sink build-up are structural placeholders pending client data; the workflow is unaffected, only the equilibrium temperatures.</w:t>
      </w:r>
    </w:p>
    <w:p>
      <w:pPr>
        <w:spacing w:before="240"/>
        <w:jc w:val="center"/>
      </w:pPr>
      <w:r>
        <w:rPr>
          <w:i/>
          <w:iCs/>
          <w:color w:val="555555"/>
        </w:rPr>
        <w:t xml:space="preserve">— End of Final Engineering Report (Rev A) —</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Synoptic CFD — Confidential          Page </w:t>
    </w:r>
    <w:r>
      <w:rPr>
        <w:color w:val="555555"/>
        <w:sz w:val="15"/>
        <w:szCs w:val="15"/>
      </w:rPr>
      <w:fldChar w:fldCharType="begin"/>
      <w:instrText xml:space="preserve">PAGE</w:instrText>
      <w:fldChar w:fldCharType="separate"/>
      <w:fldChar w:fldCharType="end"/>
    </w:r>
    <w:r>
      <w:rPr>
        <w:color w:val="555555"/>
        <w:sz w:val="15"/>
        <w:szCs w:val="15"/>
      </w:rPr>
      <w:t xml:space="preserve"> of </w:t>
    </w:r>
    <w:r>
      <w:rPr>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F" w:sz="4" w:space="4"/>
      </w:pBdr>
      <w:jc w:val="right"/>
    </w:pPr>
    <w:r>
      <w:rPr>
        <w:color w:val="555555"/>
        <w:sz w:val="15"/>
        <w:szCs w:val="15"/>
      </w:rPr>
      <w:t xml:space="preserve">Memorial Tunnel TVS  |  Final Engineering Report  |  Doc. STN-MT-FER-009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b/>
        <w:bCs/>
        <w:color w:val="2E7D8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4E5F"/>
      <w:sz w:val="30"/>
      <w:szCs w:val="30"/>
    </w:rPr>
  </w:style>
  <w:style w:type="paragraph" w:styleId="Heading2">
    <w:name w:val="Heading 2"/>
    <w:basedOn w:val="Normal"/>
    <w:next w:val="Normal"/>
    <w:qFormat/>
    <w:pPr>
      <w:spacing w:after="100" w:before="220"/>
      <w:outlineLvl w:val="1"/>
    </w:pPr>
    <w:rPr>
      <w:b/>
      <w:bCs/>
      <w:color w:val="2E7D8C"/>
      <w:sz w:val="25"/>
      <w:szCs w:val="25"/>
    </w:rPr>
  </w:style>
  <w:style w:type="paragraph" w:styleId="Heading3">
    <w:name w:val="Heading 3"/>
    <w:basedOn w:val="Normal"/>
    <w:next w:val="Normal"/>
    <w:qFormat/>
    <w:pPr>
      <w:spacing w:after="80" w:before="160"/>
      <w:outlineLvl w:val="2"/>
    </w:pPr>
    <w:rPr>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Tunnel TVS — Final Engineering Report</dc:title>
  <dc:creator>Synoptic CFD</dc:creator>
  <cp:lastModifiedBy>Un-named</cp:lastModifiedBy>
  <cp:revision>1</cp:revision>
  <dcterms:created xsi:type="dcterms:W3CDTF">2026-07-01T13:19:38.737Z</dcterms:created>
  <dcterms:modified xsi:type="dcterms:W3CDTF">2026-07-01T13:19:38.747Z</dcterms:modified>
</cp:coreProperties>
</file>

<file path=docProps/custom.xml><?xml version="1.0" encoding="utf-8"?>
<Properties xmlns="http://schemas.openxmlformats.org/officeDocument/2006/custom-properties" xmlns:vt="http://schemas.openxmlformats.org/officeDocument/2006/docPropsVTypes"/>
</file>