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5F"/>
          <w:sz w:val="34"/>
          <w:szCs w:val="34"/>
        </w:rPr>
        <w:t xml:space="preserve">SYNOPTIC CFD</w:t>
      </w:r>
    </w:p>
    <w:p>
      <w:pPr>
        <w:jc w:val="center"/>
      </w:pPr>
      <w:r>
        <w:rPr>
          <w:color w:val="555555"/>
          <w:sz w:val="20"/>
          <w:szCs w:val="20"/>
        </w:rPr>
        <w:t xml:space="preserve">Tunnel Ventilation Engineering</w:t>
      </w:r>
    </w:p>
    <w:p>
      <w:pPr>
        <w:spacing w:before="1200"/>
        <w:jc w:val="center"/>
      </w:pPr>
      <w:r>
        <w:rPr>
          <w:b/>
          <w:bCs/>
          <w:color w:val="2E7D8C"/>
          <w:sz w:val="44"/>
          <w:szCs w:val="44"/>
        </w:rPr>
        <w:t xml:space="preserve">LONG-TERM HEAT SINK</w:t>
      </w:r>
    </w:p>
    <w:p>
      <w:pPr>
        <w:jc w:val="center"/>
      </w:pPr>
      <w:r>
        <w:rPr>
          <w:b/>
          <w:bCs/>
          <w:color w:val="2E7D8C"/>
          <w:sz w:val="44"/>
          <w:szCs w:val="44"/>
        </w:rPr>
        <w:t xml:space="preserve">ANALYSIS</w:t>
      </w:r>
    </w:p>
    <w:p>
      <w:pPr>
        <w:spacing w:before="140"/>
        <w:jc w:val="center"/>
      </w:pPr>
      <w:r>
        <w:rPr>
          <w:sz w:val="22"/>
          <w:szCs w:val="22"/>
        </w:rPr>
        <w:t xml:space="preserve">Restart-File Workflow &amp; Multi-Year Thermal Build-Up</w:t>
      </w:r>
    </w:p>
    <w:p>
      <w:pPr>
        <w:jc w:val="center"/>
      </w:pPr>
      <w:r>
        <w:rPr>
          <w:i/>
          <w:iCs/>
          <w:color w:val="555555"/>
          <w:sz w:val="20"/>
          <w:szCs w:val="20"/>
        </w:rPr>
        <w:t xml:space="preserve">Rail Tunnel Operating Basis — SES v4.1</w:t>
      </w:r>
    </w:p>
    <w:p>
      <w:pPr>
        <w:spacing w:before="1400"/>
        <w:jc w:val="center"/>
      </w:pPr>
      <w:r>
        <w:rPr>
          <w:color w:val="555555"/>
          <w:sz w:val="18"/>
          <w:szCs w:val="18"/>
        </w:rPr>
        <w:t xml:space="preserve">Document No. STN-MT-HSK-005   |   Revision A   |   Deliverable D5</w:t>
      </w:r>
    </w:p>
    <w:p>
      <w:r>
        <w:br w:type="page"/>
      </w:r>
    </w:p>
    <w:p>
      <w:pPr>
        <w:pStyle w:val="Heading1"/>
        <w:spacing w:after="120" w:before="240"/>
      </w:pPr>
      <w: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color="auto" w:val="clear"/>
            <w:tcMar>
              <w:top w:type="dxa" w:w="40"/>
              <w:left w:type="dxa" w:w="90"/>
              <w:bottom w:type="dxa" w:w="40"/>
              <w:right w:type="dxa" w:w="90"/>
            </w:tcMar>
          </w:tcPr>
          <w:p>
            <w:pPr>
              <w:spacing w:after="0" w:line="240"/>
            </w:pPr>
            <w:r>
              <w:rPr>
                <w:b/>
                <w:bCs/>
                <w:color w:val="FFFFFF"/>
                <w:sz w:val="18"/>
                <w:szCs w:val="18"/>
              </w:rPr>
              <w:t xml:space="preserve">Field</w:t>
            </w:r>
          </w:p>
        </w:tc>
        <w:tc>
          <w:tcPr>
            <w:tcW w:type="dxa" w:w="7000"/>
            <w:shd w:fill="1F4E5F" w:color="auto" w:val="clear"/>
            <w:tcMar>
              <w:top w:type="dxa" w:w="40"/>
              <w:left w:type="dxa" w:w="90"/>
              <w:bottom w:type="dxa" w:w="40"/>
              <w:right w:type="dxa" w:w="90"/>
            </w:tcMar>
          </w:tcPr>
          <w:p>
            <w:pPr>
              <w:spacing w:after="0" w:line="240"/>
            </w:pPr>
            <w:r>
              <w:rPr>
                <w:b/>
                <w:bCs/>
                <w:color w:val="FFFFFF"/>
                <w:sz w:val="18"/>
                <w:szCs w:val="18"/>
              </w:rPr>
              <w:t xml:space="preserve">Detail</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Document</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Long-Term Heat Sink Analysis (Deliverable D5)</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Number / Rev</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STN-MT-HSK-005 / Rev A</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Purpose</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Establish equilibrium wall/ground temperatures and write the SES restart (initialization) file that the emergency fire runs read</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Run order</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Precedes the fire simulations (D6)</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Operating basis</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Rail tunnel — train heat &amp; headway</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Toolchain</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SES v4.1 + Next-In (Excel input manager)</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Basis</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DBR STN-MT-DBR-001; Model Build STN-MT-SES-003</w:t>
            </w:r>
          </w:p>
        </w:tc>
      </w:tr>
    </w:tbl>
    <w:p>
      <w:r>
        <w:br w:type="page"/>
      </w:r>
    </w:p>
    <w:p>
      <w:pPr>
        <w:pStyle w:val="Heading1"/>
        <w:spacing w:after="120" w:before="240"/>
      </w:pPr>
      <w:r>
        <w:t xml:space="preserve">Contents</w:t>
      </w:r>
    </w:p>
    <w:p>
      <w:pPr>
        <w:tabs>
          <w:tab w:val="right" w:leader="dot" w:pos="9600"/>
        </w:tabs>
        <w:ind w:left="0"/>
        <w:spacing w:after="80" w:line="264" w:lineRule="auto"/>
      </w:pPr>
      <w:r>
        <w:rPr>
          <w:sz w:val="21"/>
        </w:rPr>
        <w:t xml:space="preserve">Document Control</w:t>
      </w:r>
      <w:r>
        <w:rPr>
          <w:sz w:val="21"/>
        </w:rPr>
        <w:tab/>
        <w:t>2</w:t>
      </w:r>
    </w:p>
    <w:p>
      <w:pPr>
        <w:tabs>
          <w:tab w:val="right" w:leader="dot" w:pos="9600"/>
        </w:tabs>
        <w:ind w:left="0"/>
        <w:spacing w:after="80" w:line="264" w:lineRule="auto"/>
      </w:pPr>
      <w:r>
        <w:rPr>
          <w:sz w:val="21"/>
        </w:rPr>
        <w:t xml:space="preserve">1  Why the Heat Sink Runs First</w:t>
      </w:r>
      <w:r>
        <w:rPr>
          <w:sz w:val="21"/>
        </w:rPr>
        <w:tab/>
        <w:t>4</w:t>
      </w:r>
    </w:p>
    <w:p>
      <w:pPr>
        <w:tabs>
          <w:tab w:val="right" w:leader="dot" w:pos="9600"/>
        </w:tabs>
        <w:ind w:left="360"/>
        <w:spacing w:after="80" w:line="264" w:lineRule="auto"/>
      </w:pPr>
      <w:r>
        <w:rPr>
          <w:sz w:val="20"/>
        </w:rPr>
        <w:t xml:space="preserve">1.1  A Note on the Validation Cases</w:t>
      </w:r>
      <w:r>
        <w:rPr>
          <w:sz w:val="20"/>
        </w:rPr>
        <w:tab/>
        <w:t>4</w:t>
      </w:r>
    </w:p>
    <w:p>
      <w:pPr>
        <w:tabs>
          <w:tab w:val="right" w:leader="dot" w:pos="9600"/>
        </w:tabs>
        <w:ind w:left="0"/>
        <w:spacing w:after="80" w:line="264" w:lineRule="auto"/>
      </w:pPr>
      <w:r>
        <w:rPr>
          <w:sz w:val="21"/>
        </w:rPr>
        <w:t xml:space="preserve">2  The Two-Stage Restart Workflow</w:t>
      </w:r>
      <w:r>
        <w:rPr>
          <w:sz w:val="21"/>
        </w:rPr>
        <w:tab/>
        <w:t>4</w:t>
      </w:r>
    </w:p>
    <w:p>
      <w:pPr>
        <w:tabs>
          <w:tab w:val="right" w:leader="dot" w:pos="9600"/>
        </w:tabs>
        <w:ind w:left="0"/>
        <w:spacing w:after="80" w:line="264" w:lineRule="auto"/>
      </w:pPr>
      <w:r>
        <w:rPr>
          <w:sz w:val="21"/>
        </w:rPr>
        <w:t xml:space="preserve">3  Next-In Form 1 Settings</w:t>
      </w:r>
      <w:r>
        <w:rPr>
          <w:sz w:val="21"/>
        </w:rPr>
        <w:tab/>
        <w:t>4</w:t>
      </w:r>
    </w:p>
    <w:p>
      <w:pPr>
        <w:tabs>
          <w:tab w:val="right" w:leader="dot" w:pos="9600"/>
        </w:tabs>
        <w:ind w:left="360"/>
        <w:spacing w:after="80" w:line="264" w:lineRule="auto"/>
      </w:pPr>
      <w:r>
        <w:rPr>
          <w:sz w:val="20"/>
        </w:rPr>
        <w:t xml:space="preserve">3.1  Stage A — Build-Up Run (writes restart file)</w:t>
      </w:r>
      <w:r>
        <w:rPr>
          <w:sz w:val="20"/>
        </w:rPr>
        <w:tab/>
        <w:t>4</w:t>
      </w:r>
    </w:p>
    <w:p>
      <w:pPr>
        <w:tabs>
          <w:tab w:val="right" w:leader="dot" w:pos="9600"/>
        </w:tabs>
        <w:ind w:left="360"/>
        <w:spacing w:after="80" w:line="264" w:lineRule="auto"/>
      </w:pPr>
      <w:r>
        <w:rPr>
          <w:sz w:val="20"/>
        </w:rPr>
        <w:t xml:space="preserve">3.2  Stage B — Fire Runs (read restart file)</w:t>
      </w:r>
      <w:r>
        <w:rPr>
          <w:sz w:val="20"/>
        </w:rPr>
        <w:tab/>
        <w:t>5</w:t>
      </w:r>
    </w:p>
    <w:p>
      <w:pPr>
        <w:tabs>
          <w:tab w:val="right" w:leader="dot" w:pos="9600"/>
        </w:tabs>
        <w:ind w:left="0"/>
        <w:spacing w:after="80" w:line="264" w:lineRule="auto"/>
      </w:pPr>
      <w:r>
        <w:rPr>
          <w:sz w:val="21"/>
        </w:rPr>
        <w:t xml:space="preserve">4  Rail Tunnel Operating Basis (Heat Load)</w:t>
      </w:r>
      <w:r>
        <w:rPr>
          <w:sz w:val="21"/>
        </w:rPr>
        <w:tab/>
        <w:t>5</w:t>
      </w:r>
    </w:p>
    <w:p>
      <w:pPr>
        <w:tabs>
          <w:tab w:val="right" w:leader="dot" w:pos="9600"/>
        </w:tabs>
        <w:ind w:left="0"/>
        <w:spacing w:after="80" w:line="264" w:lineRule="auto"/>
      </w:pPr>
      <w:r>
        <w:rPr>
          <w:sz w:val="21"/>
        </w:rPr>
        <w:t xml:space="preserve">5  Run Sequence &amp; Batch Plan</w:t>
      </w:r>
      <w:r>
        <w:rPr>
          <w:sz w:val="21"/>
        </w:rPr>
        <w:tab/>
        <w:t>5</w:t>
      </w:r>
    </w:p>
    <w:p>
      <w:pPr>
        <w:tabs>
          <w:tab w:val="right" w:leader="dot" w:pos="9600"/>
        </w:tabs>
        <w:ind w:left="0"/>
        <w:spacing w:after="80" w:line="264" w:lineRule="auto"/>
      </w:pPr>
      <w:r>
        <w:rPr>
          <w:sz w:val="21"/>
        </w:rPr>
        <w:t xml:space="preserve">6  Verification &amp; Limitations</w:t>
      </w:r>
      <w:r>
        <w:rPr>
          <w:sz w:val="21"/>
        </w:rPr>
        <w:tab/>
        <w:t>6</w:t>
      </w:r>
    </w:p>
    <w:p>
      <w:r>
        <w:br w:type="page"/>
      </w:r>
    </w:p>
    <w:p>
      <w:pPr>
        <w:pStyle w:val="Heading1"/>
        <w:spacing w:after="120" w:before="240"/>
      </w:pPr>
      <w:r>
        <w:t xml:space="preserve">1  Why the Heat Sink Runs First</w:t>
      </w:r>
    </w:p>
    <w:p>
      <w:pPr>
        <w:spacing w:after="120" w:line="276"/>
        <w:jc w:val="both"/>
      </w:pPr>
      <w:r>
        <w:t xml:space="preserve">SES models heat exchange between the tunnel air and the surrounding ground and lining with a finite-difference wall heat-sink submodel. Within a single simulation the air temperature responds in seconds, but the surrounding rock/soil reaches thermal equilibrium only over years of repeated daily operation. The deep-ground temperature field is therefore a slowly-established background condition, not something a one-hour fire run can discover.</w:t>
      </w:r>
    </w:p>
    <w:p>
      <w:pPr>
        <w:spacing w:after="120" w:line="276"/>
        <w:jc w:val="both"/>
      </w:pPr>
      <w:r>
        <w:t xml:space="preserve">A fire is a short, intense perturbation superimposed on that background. If a fire run is started from an arbitrary or ambient wall temperature, the walls will absorb heat at the wrong rate and the predicted air temperatures during the fire will be biased. The correct practice is a two-stage workflow: first establish the equilibrium thermal field over the long term and persist it in the SES restart (initialization) file; then start each emergency fire run from that file so the fire develops against realistic pre-conditioned walls that then act as the heat sink.</w:t>
      </w:r>
    </w:p>
    <w:p>
      <w:pPr>
        <w:spacing w:after="120"/>
        <w:jc w:val="both"/>
      </w:pPr>
      <w:r>
        <w:rPr>
          <w:b/>
          <w:bCs/>
        </w:rPr>
        <w:t xml:space="preserve">Consequence for run order: </w:t>
      </w:r>
      <w:r>
        <w:t xml:space="preserve">the heat sink build-up (this deliverable, D5) must be executed and its restart file written before any fire simulation (D6). This corrects the naive ordering in which walls are merely initialised to a fixed surface temperature.</w:t>
      </w:r>
    </w:p>
    <w:p>
      <w:pPr>
        <w:pStyle w:val="Heading2"/>
        <w:spacing w:after="120" w:before="240"/>
      </w:pPr>
      <w:r>
        <w:t xml:space="preserve">1.1  A Note on the Validation Cases</w:t>
      </w:r>
    </w:p>
    <w:p>
      <w:pPr>
        <w:spacing w:after="120" w:line="276"/>
        <w:jc w:val="both"/>
      </w:pPr>
      <w:r>
        <w:t xml:space="preserve">The original Memorial Tunnel experiments were short-duration tests in a decommissioned tunnel with measured test-day wall surface temperatures and no multi-year operational history. Their reference SES decks legitimately set wall temperature directly and neither write nor read a restart file (confirmed from the reference output: the Initialization File Writing and Reading Options are both 0, and the print groups report "NEITHER SUMMARY NOR INITIALIZATION"). The validation runs in this project therefore reproduce that direct-temperature approach for a like-for-like comparison. The restart-file workflow described here applies to the emergency design cases, which model an operational rail tunnel.</w:t>
      </w:r>
    </w:p>
    <w:p>
      <w:pPr>
        <w:pStyle w:val="Heading1"/>
        <w:spacing w:after="120" w:before="240"/>
      </w:pPr>
      <w:r>
        <w:t xml:space="preserve">2  The Two-Stage Restart Workflow</w:t>
      </w:r>
    </w:p>
    <w:p>
      <w:pPr>
        <w:spacing w:after="120" w:line="276"/>
        <w:jc w:val="both"/>
      </w:pPr>
      <w:r>
        <w:t xml:space="preserve">The analysis is organised as one build-up run that writes the restart file, followed by the family of fire runs that each read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500"/>
        <w:gridCol w:w="1400"/>
        <w:gridCol w:w="1400"/>
      </w:tblGrid>
      <w:tr>
        <w:trPr>
          <w:tblHeader/>
        </w:trPr>
        <w:tc>
          <w:tcPr>
            <w:tcW w:type="dxa" w:w="900"/>
            <w:shd w:fill="1F4E5F" w:color="auto" w:val="clear"/>
            <w:tcMar>
              <w:top w:type="dxa" w:w="40"/>
              <w:left w:type="dxa" w:w="90"/>
              <w:bottom w:type="dxa" w:w="40"/>
              <w:right w:type="dxa" w:w="90"/>
            </w:tcMar>
          </w:tcPr>
          <w:p>
            <w:pPr>
              <w:spacing w:after="0" w:line="240"/>
            </w:pPr>
            <w:r>
              <w:rPr>
                <w:b/>
                <w:bCs/>
                <w:color w:val="FFFFFF"/>
                <w:sz w:val="18"/>
                <w:szCs w:val="18"/>
              </w:rPr>
              <w:t xml:space="preserve">Stage</w:t>
            </w:r>
          </w:p>
        </w:tc>
        <w:tc>
          <w:tcPr>
            <w:tcW w:type="dxa" w:w="4400"/>
            <w:shd w:fill="1F4E5F" w:color="auto" w:val="clear"/>
            <w:tcMar>
              <w:top w:type="dxa" w:w="40"/>
              <w:left w:type="dxa" w:w="90"/>
              <w:bottom w:type="dxa" w:w="40"/>
              <w:right w:type="dxa" w:w="90"/>
            </w:tcMar>
          </w:tcPr>
          <w:p>
            <w:pPr>
              <w:spacing w:after="0" w:line="240"/>
            </w:pPr>
            <w:r>
              <w:rPr>
                <w:b/>
                <w:bCs/>
                <w:color w:val="FFFFFF"/>
                <w:sz w:val="18"/>
                <w:szCs w:val="18"/>
              </w:rPr>
              <w:t xml:space="preserve">Run</w:t>
            </w:r>
          </w:p>
        </w:tc>
        <w:tc>
          <w:tcPr>
            <w:tcW w:type="dxa" w:w="1500"/>
            <w:shd w:fill="1F4E5F" w:color="auto" w:val="clear"/>
            <w:tcMar>
              <w:top w:type="dxa" w:w="40"/>
              <w:left w:type="dxa" w:w="90"/>
              <w:bottom w:type="dxa" w:w="40"/>
              <w:right w:type="dxa" w:w="90"/>
            </w:tcMar>
          </w:tcPr>
          <w:p>
            <w:pPr>
              <w:spacing w:after="0" w:line="240"/>
            </w:pPr>
            <w:r>
              <w:rPr>
                <w:b/>
                <w:bCs/>
                <w:color w:val="FFFFFF"/>
                <w:sz w:val="18"/>
                <w:szCs w:val="18"/>
              </w:rPr>
              <w:t xml:space="preserve">Init. File Writing</w:t>
            </w:r>
          </w:p>
        </w:tc>
        <w:tc>
          <w:tcPr>
            <w:tcW w:type="dxa" w:w="1400"/>
            <w:shd w:fill="1F4E5F" w:color="auto" w:val="clear"/>
            <w:tcMar>
              <w:top w:type="dxa" w:w="40"/>
              <w:left w:type="dxa" w:w="90"/>
              <w:bottom w:type="dxa" w:w="40"/>
              <w:right w:type="dxa" w:w="90"/>
            </w:tcMar>
          </w:tcPr>
          <w:p>
            <w:pPr>
              <w:spacing w:after="0" w:line="240"/>
            </w:pPr>
            <w:r>
              <w:rPr>
                <w:b/>
                <w:bCs/>
                <w:color w:val="FFFFFF"/>
                <w:sz w:val="18"/>
                <w:szCs w:val="18"/>
              </w:rPr>
              <w:t xml:space="preserve">Init. File Reading</w:t>
            </w:r>
          </w:p>
        </w:tc>
        <w:tc>
          <w:tcPr>
            <w:tcW w:type="dxa" w:w="1400"/>
            <w:shd w:fill="1F4E5F" w:color="auto" w:val="clear"/>
            <w:tcMar>
              <w:top w:type="dxa" w:w="40"/>
              <w:left w:type="dxa" w:w="90"/>
              <w:bottom w:type="dxa" w:w="40"/>
              <w:right w:type="dxa" w:w="90"/>
            </w:tcMar>
          </w:tcPr>
          <w:p>
            <w:pPr>
              <w:spacing w:after="0" w:line="240"/>
            </w:pPr>
            <w:r>
              <w:rPr>
                <w:b/>
                <w:bCs/>
                <w:color w:val="FFFFFF"/>
                <w:sz w:val="18"/>
                <w:szCs w:val="18"/>
              </w:rPr>
              <w:t xml:space="preserve">Environmental Control</w:t>
            </w:r>
          </w:p>
        </w:tc>
      </w:tr>
      <w:tr>
        <w:trPr>
          <w:tblHeader w:val="false"/>
        </w:trPr>
        <w:tc>
          <w:tcPr>
            <w:tcW w:type="dxa" w:w="900"/>
            <w:tcMar>
              <w:top w:type="dxa" w:w="40"/>
              <w:left w:type="dxa" w:w="90"/>
              <w:bottom w:type="dxa" w:w="40"/>
              <w:right w:type="dxa" w:w="90"/>
            </w:tcMar>
          </w:tcPr>
          <w:p>
            <w:pPr>
              <w:spacing w:after="0" w:line="240"/>
            </w:pPr>
            <w:r>
              <w:rPr>
                <w:color w:val="000000"/>
                <w:sz w:val="18"/>
                <w:szCs w:val="18"/>
              </w:rPr>
              <w:t xml:space="preserve">A</w:t>
            </w:r>
          </w:p>
        </w:tc>
        <w:tc>
          <w:tcPr>
            <w:tcW w:type="dxa" w:w="4400"/>
            <w:tcMar>
              <w:top w:type="dxa" w:w="40"/>
              <w:left w:type="dxa" w:w="90"/>
              <w:bottom w:type="dxa" w:w="40"/>
              <w:right w:type="dxa" w:w="90"/>
            </w:tcMar>
          </w:tcPr>
          <w:p>
            <w:pPr>
              <w:spacing w:after="0" w:line="240"/>
            </w:pPr>
            <w:r>
              <w:rPr>
                <w:b w:val="false"/>
                <w:bCs w:val="false"/>
                <w:color w:val="000000"/>
                <w:sz w:val="18"/>
                <w:szCs w:val="18"/>
              </w:rPr>
              <w:t xml:space="preserve">Heat-sink build-up (normal rail operation)</w:t>
            </w:r>
          </w:p>
        </w:tc>
        <w:tc>
          <w:tcPr>
            <w:tcW w:type="dxa" w:w="1500"/>
            <w:shd w:fill="FFF6D5" w:color="auto" w:val="clear"/>
            <w:tcMar>
              <w:top w:type="dxa" w:w="40"/>
              <w:left w:type="dxa" w:w="90"/>
              <w:bottom w:type="dxa" w:w="40"/>
              <w:right w:type="dxa" w:w="90"/>
            </w:tcMar>
          </w:tcPr>
          <w:p>
            <w:pPr>
              <w:spacing w:after="0" w:line="240"/>
            </w:pPr>
            <w:r>
              <w:rPr>
                <w:b/>
                <w:bCs/>
                <w:color w:val="000000"/>
                <w:sz w:val="18"/>
                <w:szCs w:val="18"/>
              </w:rPr>
              <w:t xml:space="preserve">ON (write)</w:t>
            </w:r>
          </w:p>
        </w:tc>
        <w:tc>
          <w:tcPr>
            <w:tcW w:type="dxa" w:w="1400"/>
            <w:tcMar>
              <w:top w:type="dxa" w:w="40"/>
              <w:left w:type="dxa" w:w="90"/>
              <w:bottom w:type="dxa" w:w="40"/>
              <w:right w:type="dxa" w:w="90"/>
            </w:tcMar>
          </w:tcPr>
          <w:p>
            <w:pPr>
              <w:spacing w:after="0" w:line="240"/>
            </w:pPr>
            <w:r>
              <w:rPr>
                <w:b w:val="false"/>
                <w:bCs w:val="false"/>
                <w:color w:val="000000"/>
                <w:sz w:val="18"/>
                <w:szCs w:val="18"/>
              </w:rPr>
              <w:t xml:space="preserve">OFF</w:t>
            </w:r>
          </w:p>
        </w:tc>
        <w:tc>
          <w:tcPr>
            <w:tcW w:type="dxa" w:w="1400"/>
            <w:shd w:fill="FFF6D5" w:color="auto" w:val="clear"/>
            <w:tcMar>
              <w:top w:type="dxa" w:w="40"/>
              <w:left w:type="dxa" w:w="90"/>
              <w:bottom w:type="dxa" w:w="40"/>
              <w:right w:type="dxa" w:w="90"/>
            </w:tcMar>
          </w:tcPr>
          <w:p>
            <w:pPr>
              <w:spacing w:after="0" w:line="240"/>
            </w:pPr>
            <w:r>
              <w:rPr>
                <w:b/>
                <w:bCs/>
                <w:color w:val="000000"/>
                <w:sz w:val="18"/>
                <w:szCs w:val="18"/>
              </w:rPr>
              <w:t xml:space="preserve">ON (evaluate)</w:t>
            </w:r>
          </w:p>
        </w:tc>
      </w:tr>
      <w:tr>
        <w:trPr>
          <w:tblHeader w:val="false"/>
        </w:trPr>
        <w:tc>
          <w:tcPr>
            <w:tcW w:type="dxa" w:w="900"/>
            <w:shd w:fill="E8F0F2" w:color="auto" w:val="clear"/>
            <w:tcMar>
              <w:top w:type="dxa" w:w="40"/>
              <w:left w:type="dxa" w:w="90"/>
              <w:bottom w:type="dxa" w:w="40"/>
              <w:right w:type="dxa" w:w="90"/>
            </w:tcMar>
          </w:tcPr>
          <w:p>
            <w:pPr>
              <w:spacing w:after="0" w:line="240"/>
            </w:pPr>
            <w:r>
              <w:rPr>
                <w:color w:val="000000"/>
                <w:sz w:val="18"/>
                <w:szCs w:val="18"/>
              </w:rPr>
              <w:t xml:space="preserve">B</w:t>
            </w:r>
          </w:p>
        </w:tc>
        <w:tc>
          <w:tcPr>
            <w:tcW w:type="dxa" w:w="4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Emergency fire runs (10/20/50/100 MW)</w:t>
            </w:r>
          </w:p>
        </w:tc>
        <w:tc>
          <w:tcPr>
            <w:tcW w:type="dxa" w:w="15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OFF</w:t>
            </w:r>
          </w:p>
        </w:tc>
        <w:tc>
          <w:tcPr>
            <w:tcW w:type="dxa" w:w="1400"/>
            <w:shd w:fill="FFF6D5" w:color="auto" w:val="clear"/>
            <w:tcMar>
              <w:top w:type="dxa" w:w="40"/>
              <w:left w:type="dxa" w:w="90"/>
              <w:bottom w:type="dxa" w:w="40"/>
              <w:right w:type="dxa" w:w="90"/>
            </w:tcMar>
          </w:tcPr>
          <w:p>
            <w:pPr>
              <w:spacing w:after="0" w:line="240"/>
            </w:pPr>
            <w:r>
              <w:rPr>
                <w:b/>
                <w:bCs/>
                <w:color w:val="000000"/>
                <w:sz w:val="18"/>
                <w:szCs w:val="18"/>
              </w:rPr>
              <w:t xml:space="preserve">ON (read)</w:t>
            </w:r>
          </w:p>
        </w:tc>
        <w:tc>
          <w:tcPr>
            <w:tcW w:type="dxa" w:w="1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As required</w:t>
            </w:r>
          </w:p>
        </w:tc>
      </w:tr>
    </w:tbl>
    <w:p>
      <w:pPr>
        <w:spacing w:after="120" w:line="276"/>
        <w:jc w:val="both"/>
      </w:pPr>
      <w:r>
        <w:t xml:space="preserve">Stage A is run once. Stage B reuses its restart file for every design fire and every fan-failure variant, so all emergency runs share a consistent, physically-grounded initial thermal state.</w:t>
      </w:r>
    </w:p>
    <w:p>
      <w:pPr>
        <w:pStyle w:val="Heading1"/>
        <w:spacing w:after="120" w:before="240"/>
      </w:pPr>
      <w:r>
        <w:t xml:space="preserve">3  Next-In Form 1 Settings</w:t>
      </w:r>
    </w:p>
    <w:p>
      <w:pPr>
        <w:spacing w:after="120" w:line="276"/>
        <w:jc w:val="both"/>
      </w:pPr>
      <w:r>
        <w:t xml:space="preserve">Because SES input is fixed-format, the initialization-file options are set through the Next-In Excel input manager rather than by hand-editing column positions. Next-In exposes these on Form 1 (the design/control form) and writes the correct fields. The settings below correspond to the option names echoed in the SES output listing.</w:t>
      </w:r>
    </w:p>
    <w:p>
      <w:pPr>
        <w:pStyle w:val="Heading2"/>
        <w:spacing w:after="120" w:before="240"/>
      </w:pPr>
      <w:r>
        <w:t xml:space="preserve">3.1  Stage A — Build-Up Run (writes restart file)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3300"/>
      </w:tblGrid>
      <w:tr>
        <w:trPr>
          <w:tblHeader/>
        </w:trPr>
        <w:tc>
          <w:tcPr>
            <w:tcW w:type="dxa" w:w="3700"/>
            <w:shd w:fill="1F4E5F" w:color="auto" w:val="clear"/>
            <w:tcMar>
              <w:top w:type="dxa" w:w="40"/>
              <w:left w:type="dxa" w:w="90"/>
              <w:bottom w:type="dxa" w:w="40"/>
              <w:right w:type="dxa" w:w="90"/>
            </w:tcMar>
          </w:tcPr>
          <w:p>
            <w:pPr>
              <w:spacing w:after="0" w:line="240"/>
            </w:pPr>
            <w:r>
              <w:rPr>
                <w:b/>
                <w:bCs/>
                <w:color w:val="FFFFFF"/>
                <w:sz w:val="18"/>
                <w:szCs w:val="18"/>
              </w:rPr>
              <w:t xml:space="preserve">Form 1 option</w:t>
            </w:r>
          </w:p>
        </w:tc>
        <w:tc>
          <w:tcPr>
            <w:tcW w:type="dxa" w:w="2600"/>
            <w:shd w:fill="1F4E5F" w:color="auto" w:val="clear"/>
            <w:tcMar>
              <w:top w:type="dxa" w:w="40"/>
              <w:left w:type="dxa" w:w="90"/>
              <w:bottom w:type="dxa" w:w="40"/>
              <w:right w:type="dxa" w:w="90"/>
            </w:tcMar>
          </w:tcPr>
          <w:p>
            <w:pPr>
              <w:spacing w:after="0" w:line="240"/>
            </w:pPr>
            <w:r>
              <w:rPr>
                <w:b/>
                <w:bCs/>
                <w:color w:val="FFFFFF"/>
                <w:sz w:val="18"/>
                <w:szCs w:val="18"/>
              </w:rPr>
              <w:t xml:space="preserve">Setting</w:t>
            </w:r>
          </w:p>
        </w:tc>
        <w:tc>
          <w:tcPr>
            <w:tcW w:type="dxa" w:w="3300"/>
            <w:shd w:fill="1F4E5F" w:color="auto" w:val="clear"/>
            <w:tcMar>
              <w:top w:type="dxa" w:w="40"/>
              <w:left w:type="dxa" w:w="90"/>
              <w:bottom w:type="dxa" w:w="40"/>
              <w:right w:type="dxa" w:w="90"/>
            </w:tcMar>
          </w:tcPr>
          <w:p>
            <w:pPr>
              <w:spacing w:after="0" w:line="240"/>
            </w:pPr>
            <w:r>
              <w:rPr>
                <w:b/>
                <w:bCs/>
                <w:color w:val="FFFFFF"/>
                <w:sz w:val="18"/>
                <w:szCs w:val="18"/>
              </w:rPr>
              <w:t xml:space="preserve">Effect</w:t>
            </w:r>
          </w:p>
        </w:tc>
      </w:tr>
      <w:tr>
        <w:trPr>
          <w:tblHeader w:val="false"/>
        </w:trPr>
        <w:tc>
          <w:tcPr>
            <w:tcW w:type="dxa" w:w="3700"/>
            <w:tcMar>
              <w:top w:type="dxa" w:w="40"/>
              <w:left w:type="dxa" w:w="90"/>
              <w:bottom w:type="dxa" w:w="40"/>
              <w:right w:type="dxa" w:w="90"/>
            </w:tcMar>
          </w:tcPr>
          <w:p>
            <w:pPr>
              <w:spacing w:after="0" w:line="240"/>
            </w:pPr>
            <w:r>
              <w:rPr>
                <w:b w:val="false"/>
                <w:bCs w:val="false"/>
                <w:color w:val="000000"/>
                <w:sz w:val="18"/>
                <w:szCs w:val="18"/>
              </w:rPr>
              <w:t xml:space="preserve">Environmental Control Load Evaluation</w:t>
            </w:r>
          </w:p>
        </w:tc>
        <w:tc>
          <w:tcPr>
            <w:tcW w:type="dxa" w:w="2600"/>
            <w:tcMar>
              <w:top w:type="dxa" w:w="40"/>
              <w:left w:type="dxa" w:w="90"/>
              <w:bottom w:type="dxa" w:w="40"/>
              <w:right w:type="dxa" w:w="90"/>
            </w:tcMar>
          </w:tcPr>
          <w:p>
            <w:pPr>
              <w:spacing w:after="0" w:line="240"/>
            </w:pPr>
            <w:r>
              <w:rPr>
                <w:b w:val="false"/>
                <w:bCs w:val="false"/>
                <w:color w:val="000000"/>
                <w:sz w:val="18"/>
                <w:szCs w:val="18"/>
              </w:rPr>
              <w:t xml:space="preserve">Evaluate (not Bypass)</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Activates the heat-sink / environmental load computation</w:t>
            </w:r>
          </w:p>
        </w:tc>
      </w:tr>
      <w:tr>
        <w:trPr>
          <w:tblHeader w:val="false"/>
        </w:trPr>
        <w:tc>
          <w:tcPr>
            <w:tcW w:type="dxa" w:w="3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Initialization File Writing Option</w:t>
            </w:r>
          </w:p>
        </w:tc>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On</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Writes the restart file at end of run</w:t>
            </w:r>
          </w:p>
        </w:tc>
      </w:tr>
      <w:tr>
        <w:trPr>
          <w:tblHeader w:val="false"/>
        </w:trPr>
        <w:tc>
          <w:tcPr>
            <w:tcW w:type="dxa" w:w="3700"/>
            <w:tcMar>
              <w:top w:type="dxa" w:w="40"/>
              <w:left w:type="dxa" w:w="90"/>
              <w:bottom w:type="dxa" w:w="40"/>
              <w:right w:type="dxa" w:w="90"/>
            </w:tcMar>
          </w:tcPr>
          <w:p>
            <w:pPr>
              <w:spacing w:after="0" w:line="240"/>
            </w:pPr>
            <w:r>
              <w:rPr>
                <w:b w:val="false"/>
                <w:bCs w:val="false"/>
                <w:color w:val="000000"/>
                <w:sz w:val="18"/>
                <w:szCs w:val="18"/>
              </w:rPr>
              <w:t xml:space="preserve">Initialization File Reading Option</w:t>
            </w:r>
          </w:p>
        </w:tc>
        <w:tc>
          <w:tcPr>
            <w:tcW w:type="dxa" w:w="2600"/>
            <w:tcMar>
              <w:top w:type="dxa" w:w="40"/>
              <w:left w:type="dxa" w:w="90"/>
              <w:bottom w:type="dxa" w:w="40"/>
              <w:right w:type="dxa" w:w="90"/>
            </w:tcMar>
          </w:tcPr>
          <w:p>
            <w:pPr>
              <w:spacing w:after="0" w:line="240"/>
            </w:pPr>
            <w:r>
              <w:rPr>
                <w:b w:val="false"/>
                <w:bCs w:val="false"/>
                <w:color w:val="000000"/>
                <w:sz w:val="18"/>
                <w:szCs w:val="18"/>
              </w:rPr>
              <w:t xml:space="preserve">Off</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Starts from specified initial conditions</w:t>
            </w:r>
          </w:p>
        </w:tc>
      </w:tr>
      <w:tr>
        <w:trPr>
          <w:tblHeader w:val="false"/>
        </w:trPr>
        <w:tc>
          <w:tcPr>
            <w:tcW w:type="dxa" w:w="3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Heat Sink Summary Print Option</w:t>
            </w:r>
          </w:p>
        </w:tc>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Yes</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Echoes converged wall temperatures for QA</w:t>
            </w:r>
          </w:p>
        </w:tc>
      </w:tr>
      <w:tr>
        <w:trPr>
          <w:tblHeader w:val="false"/>
        </w:trPr>
        <w:tc>
          <w:tcPr>
            <w:tcW w:type="dxa" w:w="3700"/>
            <w:tcMar>
              <w:top w:type="dxa" w:w="40"/>
              <w:left w:type="dxa" w:w="90"/>
              <w:bottom w:type="dxa" w:w="40"/>
              <w:right w:type="dxa" w:w="90"/>
            </w:tcMar>
          </w:tcPr>
          <w:p>
            <w:pPr>
              <w:spacing w:after="0" w:line="240"/>
            </w:pPr>
            <w:r>
              <w:rPr>
                <w:b w:val="false"/>
                <w:bCs w:val="false"/>
                <w:color w:val="000000"/>
                <w:sz w:val="18"/>
                <w:szCs w:val="18"/>
              </w:rPr>
              <w:t xml:space="preserve">Number of Trains at Initialization</w:t>
            </w:r>
          </w:p>
        </w:tc>
        <w:tc>
          <w:tcPr>
            <w:tcW w:type="dxa" w:w="2600"/>
            <w:tcMar>
              <w:top w:type="dxa" w:w="40"/>
              <w:left w:type="dxa" w:w="90"/>
              <w:bottom w:type="dxa" w:w="40"/>
              <w:right w:type="dxa" w:w="90"/>
            </w:tcMar>
          </w:tcPr>
          <w:p>
            <w:pPr>
              <w:spacing w:after="0" w:line="240"/>
            </w:pPr>
            <w:r>
              <w:rPr>
                <w:b w:val="false"/>
                <w:bCs w:val="false"/>
                <w:color w:val="000000"/>
                <w:sz w:val="18"/>
                <w:szCs w:val="18"/>
              </w:rPr>
              <w:t xml:space="preserve">Per timetable</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Establishes train-driven heat load</w:t>
            </w:r>
          </w:p>
        </w:tc>
      </w:tr>
      <w:tr>
        <w:trPr>
          <w:tblHeader w:val="false"/>
        </w:trPr>
        <w:tc>
          <w:tcPr>
            <w:tcW w:type="dxa" w:w="3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Restart file name (cell F48)</w:t>
            </w:r>
          </w:p>
        </w:tc>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MT-RAIL-HS.rst</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Output restart file</w:t>
            </w:r>
          </w:p>
        </w:tc>
      </w:tr>
    </w:tbl>
    <w:p>
      <w:pPr>
        <w:pStyle w:val="Heading2"/>
        <w:spacing w:after="120" w:before="240"/>
      </w:pPr>
      <w:r>
        <w:t xml:space="preserve">3.2  Stage B — Fire Runs (read restart file)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3300"/>
      </w:tblGrid>
      <w:tr>
        <w:trPr>
          <w:tblHeader/>
        </w:trPr>
        <w:tc>
          <w:tcPr>
            <w:tcW w:type="dxa" w:w="3700"/>
            <w:shd w:fill="1F4E5F" w:color="auto" w:val="clear"/>
            <w:tcMar>
              <w:top w:type="dxa" w:w="40"/>
              <w:left w:type="dxa" w:w="90"/>
              <w:bottom w:type="dxa" w:w="40"/>
              <w:right w:type="dxa" w:w="90"/>
            </w:tcMar>
          </w:tcPr>
          <w:p>
            <w:pPr>
              <w:spacing w:after="0" w:line="240"/>
            </w:pPr>
            <w:r>
              <w:rPr>
                <w:b/>
                <w:bCs/>
                <w:color w:val="FFFFFF"/>
                <w:sz w:val="18"/>
                <w:szCs w:val="18"/>
              </w:rPr>
              <w:t xml:space="preserve">Form 1 option</w:t>
            </w:r>
          </w:p>
        </w:tc>
        <w:tc>
          <w:tcPr>
            <w:tcW w:type="dxa" w:w="2600"/>
            <w:shd w:fill="1F4E5F" w:color="auto" w:val="clear"/>
            <w:tcMar>
              <w:top w:type="dxa" w:w="40"/>
              <w:left w:type="dxa" w:w="90"/>
              <w:bottom w:type="dxa" w:w="40"/>
              <w:right w:type="dxa" w:w="90"/>
            </w:tcMar>
          </w:tcPr>
          <w:p>
            <w:pPr>
              <w:spacing w:after="0" w:line="240"/>
            </w:pPr>
            <w:r>
              <w:rPr>
                <w:b/>
                <w:bCs/>
                <w:color w:val="FFFFFF"/>
                <w:sz w:val="18"/>
                <w:szCs w:val="18"/>
              </w:rPr>
              <w:t xml:space="preserve">Setting</w:t>
            </w:r>
          </w:p>
        </w:tc>
        <w:tc>
          <w:tcPr>
            <w:tcW w:type="dxa" w:w="3300"/>
            <w:shd w:fill="1F4E5F" w:color="auto" w:val="clear"/>
            <w:tcMar>
              <w:top w:type="dxa" w:w="40"/>
              <w:left w:type="dxa" w:w="90"/>
              <w:bottom w:type="dxa" w:w="40"/>
              <w:right w:type="dxa" w:w="90"/>
            </w:tcMar>
          </w:tcPr>
          <w:p>
            <w:pPr>
              <w:spacing w:after="0" w:line="240"/>
            </w:pPr>
            <w:r>
              <w:rPr>
                <w:b/>
                <w:bCs/>
                <w:color w:val="FFFFFF"/>
                <w:sz w:val="18"/>
                <w:szCs w:val="18"/>
              </w:rPr>
              <w:t xml:space="preserve">Effect</w:t>
            </w:r>
          </w:p>
        </w:tc>
      </w:tr>
      <w:tr>
        <w:trPr>
          <w:tblHeader w:val="false"/>
        </w:trPr>
        <w:tc>
          <w:tcPr>
            <w:tcW w:type="dxa" w:w="3700"/>
            <w:tcMar>
              <w:top w:type="dxa" w:w="40"/>
              <w:left w:type="dxa" w:w="90"/>
              <w:bottom w:type="dxa" w:w="40"/>
              <w:right w:type="dxa" w:w="90"/>
            </w:tcMar>
          </w:tcPr>
          <w:p>
            <w:pPr>
              <w:spacing w:after="0" w:line="240"/>
            </w:pPr>
            <w:r>
              <w:rPr>
                <w:b w:val="false"/>
                <w:bCs w:val="false"/>
                <w:color w:val="000000"/>
                <w:sz w:val="18"/>
                <w:szCs w:val="18"/>
              </w:rPr>
              <w:t xml:space="preserve">Initialization File Reading Option</w:t>
            </w:r>
          </w:p>
        </w:tc>
        <w:tc>
          <w:tcPr>
            <w:tcW w:type="dxa" w:w="2600"/>
            <w:tcMar>
              <w:top w:type="dxa" w:w="40"/>
              <w:left w:type="dxa" w:w="90"/>
              <w:bottom w:type="dxa" w:w="40"/>
              <w:right w:type="dxa" w:w="90"/>
            </w:tcMar>
          </w:tcPr>
          <w:p>
            <w:pPr>
              <w:spacing w:after="0" w:line="240"/>
            </w:pPr>
            <w:r>
              <w:rPr>
                <w:b w:val="false"/>
                <w:bCs w:val="false"/>
                <w:color w:val="000000"/>
                <w:sz w:val="18"/>
                <w:szCs w:val="18"/>
              </w:rPr>
              <w:t xml:space="preserve">On</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Starts from the built-up thermal field</w:t>
            </w:r>
          </w:p>
        </w:tc>
      </w:tr>
      <w:tr>
        <w:trPr>
          <w:tblHeader w:val="false"/>
        </w:trPr>
        <w:tc>
          <w:tcPr>
            <w:tcW w:type="dxa" w:w="3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Initialization File Writing Option</w:t>
            </w:r>
          </w:p>
        </w:tc>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Off</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No new restart file</w:t>
            </w:r>
          </w:p>
        </w:tc>
      </w:tr>
      <w:tr>
        <w:trPr>
          <w:tblHeader w:val="false"/>
        </w:trPr>
        <w:tc>
          <w:tcPr>
            <w:tcW w:type="dxa" w:w="3700"/>
            <w:tcMar>
              <w:top w:type="dxa" w:w="40"/>
              <w:left w:type="dxa" w:w="90"/>
              <w:bottom w:type="dxa" w:w="40"/>
              <w:right w:type="dxa" w:w="90"/>
            </w:tcMar>
          </w:tcPr>
          <w:p>
            <w:pPr>
              <w:spacing w:after="0" w:line="240"/>
            </w:pPr>
            <w:r>
              <w:rPr>
                <w:b w:val="false"/>
                <w:bCs w:val="false"/>
                <w:color w:val="000000"/>
                <w:sz w:val="18"/>
                <w:szCs w:val="18"/>
              </w:rPr>
              <w:t xml:space="preserve">Restart file name (cell F48)</w:t>
            </w:r>
          </w:p>
        </w:tc>
        <w:tc>
          <w:tcPr>
            <w:tcW w:type="dxa" w:w="2600"/>
            <w:tcMar>
              <w:top w:type="dxa" w:w="40"/>
              <w:left w:type="dxa" w:w="90"/>
              <w:bottom w:type="dxa" w:w="40"/>
              <w:right w:type="dxa" w:w="90"/>
            </w:tcMar>
          </w:tcPr>
          <w:p>
            <w:pPr>
              <w:spacing w:after="0" w:line="240"/>
            </w:pPr>
            <w:r>
              <w:rPr>
                <w:b w:val="false"/>
                <w:bCs w:val="false"/>
                <w:color w:val="000000"/>
                <w:sz w:val="18"/>
                <w:szCs w:val="18"/>
              </w:rPr>
              <w:t xml:space="preserve">MT-RAIL-HS.rst</w:t>
            </w:r>
          </w:p>
        </w:tc>
        <w:tc>
          <w:tcPr>
            <w:tcW w:type="dxa" w:w="3300"/>
            <w:tcMar>
              <w:top w:type="dxa" w:w="40"/>
              <w:left w:type="dxa" w:w="90"/>
              <w:bottom w:type="dxa" w:w="40"/>
              <w:right w:type="dxa" w:w="90"/>
            </w:tcMar>
          </w:tcPr>
          <w:p>
            <w:pPr>
              <w:spacing w:after="0" w:line="240"/>
            </w:pPr>
            <w:r>
              <w:rPr>
                <w:b w:val="false"/>
                <w:bCs w:val="false"/>
                <w:color w:val="000000"/>
                <w:sz w:val="18"/>
                <w:szCs w:val="18"/>
              </w:rPr>
              <w:t xml:space="preserve">Input restart file from Stage A</w:t>
            </w:r>
          </w:p>
        </w:tc>
      </w:tr>
      <w:tr>
        <w:trPr>
          <w:tblHeader w:val="false"/>
        </w:trPr>
        <w:tc>
          <w:tcPr>
            <w:tcW w:type="dxa" w:w="37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Fire / heat source</w:t>
            </w:r>
          </w:p>
        </w:tc>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Per design fire</w:t>
            </w:r>
          </w:p>
        </w:tc>
        <w:tc>
          <w:tcPr>
            <w:tcW w:type="dxa" w:w="33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10 / 20 / 50 / 100 MW at fire node 34</w:t>
            </w:r>
          </w:p>
        </w:tc>
      </w:tr>
    </w:tbl>
    <w:p>
      <w:pPr>
        <w:spacing w:after="120"/>
      </w:pPr>
      <w:r>
        <w:rPr>
          <w:b/>
          <w:bCs/>
          <w:sz w:val="18"/>
          <w:szCs w:val="18"/>
        </w:rPr>
        <w:t xml:space="preserve">Field-position note: </w:t>
      </w:r>
      <w:r>
        <w:rPr>
          <w:i/>
          <w:iCs/>
          <w:color w:val="555555"/>
          <w:sz w:val="18"/>
          <w:szCs w:val="18"/>
        </w:rPr>
        <w:t xml:space="preserve">the exact fixed-format columns for these options are handled internally by Next-In; the restart filename is read from Form 1 cell F48 in current Next-In versions. Confirm the option toggles visually on Form 1 before generating each deck.</w:t>
      </w:r>
    </w:p>
    <w:p>
      <w:pPr>
        <w:pStyle w:val="Heading1"/>
        <w:spacing w:after="120" w:before="240"/>
      </w:pPr>
      <w:r>
        <w:t xml:space="preserve">4  Rail Tunnel Operating Basis (Heat Load)</w:t>
      </w:r>
    </w:p>
    <w:p>
      <w:pPr>
        <w:spacing w:after="120" w:line="276"/>
        <w:jc w:val="both"/>
      </w:pPr>
      <w:r>
        <w:t xml:space="preserve">The build-up run represents normal revenue rail operation. The following inputs drive the long-term heat accumulation. Values are placeholders to be confirmed against the client timetable and rolling-stock data; they are structured here so the model is complete and auditable.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00"/>
      </w:tblGrid>
      <w:tr>
        <w:trPr>
          <w:tblHeader/>
        </w:trPr>
        <w:tc>
          <w:tcPr>
            <w:tcW w:type="dxa" w:w="3200"/>
            <w:shd w:fill="1F4E5F" w:color="auto" w:val="clear"/>
            <w:tcMar>
              <w:top w:type="dxa" w:w="40"/>
              <w:left w:type="dxa" w:w="90"/>
              <w:bottom w:type="dxa" w:w="40"/>
              <w:right w:type="dxa" w:w="90"/>
            </w:tcMar>
          </w:tcPr>
          <w:p>
            <w:pPr>
              <w:spacing w:after="0" w:line="240"/>
            </w:pPr>
            <w:r>
              <w:rPr>
                <w:b/>
                <w:bCs/>
                <w:color w:val="FFFFFF"/>
                <w:sz w:val="18"/>
                <w:szCs w:val="18"/>
              </w:rPr>
              <w:t xml:space="preserve">Parameter</w:t>
            </w:r>
          </w:p>
        </w:tc>
        <w:tc>
          <w:tcPr>
            <w:tcW w:type="dxa" w:w="3400"/>
            <w:shd w:fill="1F4E5F" w:color="auto" w:val="clear"/>
            <w:tcMar>
              <w:top w:type="dxa" w:w="40"/>
              <w:left w:type="dxa" w:w="90"/>
              <w:bottom w:type="dxa" w:w="40"/>
              <w:right w:type="dxa" w:w="90"/>
            </w:tcMar>
          </w:tcPr>
          <w:p>
            <w:pPr>
              <w:spacing w:after="0" w:line="240"/>
            </w:pPr>
            <w:r>
              <w:rPr>
                <w:b/>
                <w:bCs/>
                <w:color w:val="FFFFFF"/>
                <w:sz w:val="18"/>
                <w:szCs w:val="18"/>
              </w:rPr>
              <w:t xml:space="preserve">Value (basis)</w:t>
            </w:r>
          </w:p>
        </w:tc>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SES location</w:t>
            </w:r>
          </w:p>
        </w:tc>
      </w:tr>
      <w:tr>
        <w:trPr>
          <w:tblHeader w:val="false"/>
        </w:trPr>
        <w:tc>
          <w:tcPr>
            <w:tcW w:type="dxa" w:w="3200"/>
            <w:tcMar>
              <w:top w:type="dxa" w:w="40"/>
              <w:left w:type="dxa" w:w="90"/>
              <w:bottom w:type="dxa" w:w="40"/>
              <w:right w:type="dxa" w:w="90"/>
            </w:tcMar>
          </w:tcPr>
          <w:p>
            <w:pPr>
              <w:spacing w:after="0" w:line="240"/>
            </w:pPr>
            <w:r>
              <w:rPr>
                <w:b w:val="false"/>
                <w:bCs w:val="false"/>
                <w:color w:val="000000"/>
                <w:sz w:val="18"/>
                <w:szCs w:val="18"/>
              </w:rPr>
              <w:t xml:space="preserve">Train type</w:t>
            </w:r>
          </w:p>
        </w:tc>
        <w:tc>
          <w:tcPr>
            <w:tcW w:type="dxa" w:w="3400"/>
            <w:tcMar>
              <w:top w:type="dxa" w:w="40"/>
              <w:left w:type="dxa" w:w="90"/>
              <w:bottom w:type="dxa" w:w="40"/>
              <w:right w:type="dxa" w:w="90"/>
            </w:tcMar>
          </w:tcPr>
          <w:p>
            <w:pPr>
              <w:spacing w:after="0" w:line="240"/>
            </w:pPr>
            <w:r>
              <w:rPr>
                <w:b w:val="false"/>
                <w:bCs w:val="false"/>
                <w:color w:val="000000"/>
                <w:sz w:val="18"/>
                <w:szCs w:val="18"/>
              </w:rPr>
              <w:t xml:space="preserve">Metro EMU</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Train / route forms</w:t>
            </w:r>
          </w:p>
        </w:tc>
      </w:tr>
      <w:tr>
        <w:trPr>
          <w:tblHeader w:val="false"/>
        </w:trPr>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Headway</w:t>
            </w:r>
          </w:p>
        </w:tc>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150 s peak / 300 s off-peak</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Schedule / operations</w:t>
            </w:r>
          </w:p>
        </w:tc>
      </w:tr>
      <w:tr>
        <w:trPr>
          <w:tblHeader w:val="false"/>
        </w:trPr>
        <w:tc>
          <w:tcPr>
            <w:tcW w:type="dxa" w:w="3200"/>
            <w:tcMar>
              <w:top w:type="dxa" w:w="40"/>
              <w:left w:type="dxa" w:w="90"/>
              <w:bottom w:type="dxa" w:w="40"/>
              <w:right w:type="dxa" w:w="90"/>
            </w:tcMar>
          </w:tcPr>
          <w:p>
            <w:pPr>
              <w:spacing w:after="0" w:line="240"/>
            </w:pPr>
            <w:r>
              <w:rPr>
                <w:b w:val="false"/>
                <w:bCs w:val="false"/>
                <w:color w:val="000000"/>
                <w:sz w:val="18"/>
                <w:szCs w:val="18"/>
              </w:rPr>
              <w:t xml:space="preserve">Trains at initialization</w:t>
            </w:r>
          </w:p>
        </w:tc>
        <w:tc>
          <w:tcPr>
            <w:tcW w:type="dxa" w:w="3400"/>
            <w:tcMar>
              <w:top w:type="dxa" w:w="40"/>
              <w:left w:type="dxa" w:w="90"/>
              <w:bottom w:type="dxa" w:w="40"/>
              <w:right w:type="dxa" w:w="90"/>
            </w:tcMar>
          </w:tcPr>
          <w:p>
            <w:pPr>
              <w:spacing w:after="0" w:line="240"/>
            </w:pPr>
            <w:r>
              <w:rPr>
                <w:b w:val="false"/>
                <w:bCs w:val="false"/>
                <w:color w:val="000000"/>
                <w:sz w:val="18"/>
                <w:szCs w:val="18"/>
              </w:rPr>
              <w:t xml:space="preserve">Per headway occupancy</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Form 1 field</w:t>
            </w:r>
          </w:p>
        </w:tc>
      </w:tr>
      <w:tr>
        <w:trPr>
          <w:tblHeader w:val="false"/>
        </w:trPr>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Train heat rejection</w:t>
            </w:r>
          </w:p>
        </w:tc>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Traction + auxiliary + braking</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Train performance forms</w:t>
            </w:r>
          </w:p>
        </w:tc>
      </w:tr>
      <w:tr>
        <w:trPr>
          <w:tblHeader w:val="false"/>
        </w:trPr>
        <w:tc>
          <w:tcPr>
            <w:tcW w:type="dxa" w:w="3200"/>
            <w:tcMar>
              <w:top w:type="dxa" w:w="40"/>
              <w:left w:type="dxa" w:w="90"/>
              <w:bottom w:type="dxa" w:w="40"/>
              <w:right w:type="dxa" w:w="90"/>
            </w:tcMar>
          </w:tcPr>
          <w:p>
            <w:pPr>
              <w:spacing w:after="0" w:line="240"/>
            </w:pPr>
            <w:r>
              <w:rPr>
                <w:b w:val="false"/>
                <w:bCs w:val="false"/>
                <w:color w:val="000000"/>
                <w:sz w:val="18"/>
                <w:szCs w:val="18"/>
              </w:rPr>
              <w:t xml:space="preserve">Operating hours</w:t>
            </w:r>
          </w:p>
        </w:tc>
        <w:tc>
          <w:tcPr>
            <w:tcW w:type="dxa" w:w="3400"/>
            <w:tcMar>
              <w:top w:type="dxa" w:w="40"/>
              <w:left w:type="dxa" w:w="90"/>
              <w:bottom w:type="dxa" w:w="40"/>
              <w:right w:type="dxa" w:w="90"/>
            </w:tcMar>
          </w:tcPr>
          <w:p>
            <w:pPr>
              <w:spacing w:after="0" w:line="240"/>
            </w:pPr>
            <w:r>
              <w:rPr>
                <w:b w:val="false"/>
                <w:bCs w:val="false"/>
                <w:color w:val="000000"/>
                <w:sz w:val="18"/>
                <w:szCs w:val="18"/>
              </w:rPr>
              <w:t xml:space="preserve">20 h/day service + 4 h night</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Schedule</w:t>
            </w:r>
          </w:p>
        </w:tc>
      </w:tr>
      <w:tr>
        <w:trPr>
          <w:tblHeader w:val="false"/>
        </w:trPr>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Annual ambient cycle</w:t>
            </w:r>
          </w:p>
        </w:tc>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Site design summer/winter</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Ambient / environmental control</w:t>
            </w:r>
          </w:p>
        </w:tc>
      </w:tr>
      <w:tr>
        <w:trPr>
          <w:tblHeader w:val="false"/>
        </w:trPr>
        <w:tc>
          <w:tcPr>
            <w:tcW w:type="dxa" w:w="3200"/>
            <w:tcMar>
              <w:top w:type="dxa" w:w="40"/>
              <w:left w:type="dxa" w:w="90"/>
              <w:bottom w:type="dxa" w:w="40"/>
              <w:right w:type="dxa" w:w="90"/>
            </w:tcMar>
          </w:tcPr>
          <w:p>
            <w:pPr>
              <w:spacing w:after="0" w:line="240"/>
            </w:pPr>
            <w:r>
              <w:rPr>
                <w:b w:val="false"/>
                <w:bCs w:val="false"/>
                <w:color w:val="000000"/>
                <w:sz w:val="18"/>
                <w:szCs w:val="18"/>
              </w:rPr>
              <w:t xml:space="preserve">Ground thermal conductivity</w:t>
            </w:r>
          </w:p>
        </w:tc>
        <w:tc>
          <w:tcPr>
            <w:tcW w:type="dxa" w:w="3400"/>
            <w:tcMar>
              <w:top w:type="dxa" w:w="40"/>
              <w:left w:type="dxa" w:w="90"/>
              <w:bottom w:type="dxa" w:w="40"/>
              <w:right w:type="dxa" w:w="90"/>
            </w:tcMar>
          </w:tcPr>
          <w:p>
            <w:pPr>
              <w:spacing w:after="0" w:line="240"/>
            </w:pPr>
            <w:r>
              <w:rPr>
                <w:b w:val="false"/>
                <w:bCs w:val="false"/>
                <w:color w:val="000000"/>
                <w:sz w:val="18"/>
                <w:szCs w:val="18"/>
              </w:rPr>
              <w:t xml:space="preserve">Site geotech (e.g. 2.0 W/m·K)</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Heat-sink / wall property forms</w:t>
            </w:r>
          </w:p>
        </w:tc>
      </w:tr>
      <w:tr>
        <w:trPr>
          <w:tblHeader w:val="false"/>
        </w:trPr>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Ground diffusivity</w:t>
            </w:r>
          </w:p>
        </w:tc>
        <w:tc>
          <w:tcPr>
            <w:tcW w:type="dxa" w:w="3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Site geotech</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Heat-sink / wall property forms</w:t>
            </w:r>
          </w:p>
        </w:tc>
      </w:tr>
    </w:tbl>
    <w:p>
      <w:pPr>
        <w:spacing w:after="120" w:line="276"/>
        <w:jc w:val="both"/>
      </w:pPr>
      <w:r>
        <w:t xml:space="preserve">The heat sink build-up is advanced until the deep-ground node temperatures stop drifting between annual cycles (equilibrium). The converged wall temperatures are echoed by the Heat Sink Summary print for QA and are the quantities carried forward in the restart file.</w:t>
      </w:r>
    </w:p>
    <w:p>
      <w:pPr>
        <w:pStyle w:val="Heading1"/>
        <w:spacing w:after="120" w:before="240"/>
      </w:pPr>
      <w:r>
        <w:t xml:space="preserve">5  Run Sequence &amp; Batch Plan</w:t>
      </w:r>
    </w:p>
    <w:p>
      <w:pPr>
        <w:spacing w:after="120" w:line="276"/>
        <w:jc w:val="both"/>
      </w:pPr>
      <w:r>
        <w:t xml:space="preserve">The execution order for the project's thermal + emergency analysis is:</w:t>
      </w:r>
    </w:p>
    <w:p>
      <w:pPr>
        <w:pStyle w:val="ListParagraph"/>
        <w:numPr>
          <w:ilvl w:val="0"/>
          <w:numId w:val="2"/>
        </w:numPr>
        <w:spacing w:after="80" w:line="264"/>
      </w:pPr>
      <w:r>
        <w:t xml:space="preserve">Build Stage A deck in Next-In with environmental control evaluated and initialization-file writing on; set the rail heat load and annual ambient cycle.</w:t>
      </w:r>
    </w:p>
    <w:p>
      <w:pPr>
        <w:pStyle w:val="ListParagraph"/>
        <w:numPr>
          <w:ilvl w:val="0"/>
          <w:numId w:val="2"/>
        </w:numPr>
        <w:spacing w:after="80" w:line="264"/>
      </w:pPr>
      <w:r>
        <w:t xml:space="preserve">Run Stage A to thermal equilibrium; confirm convergence via the Heat Sink Summary (wall temperatures stable year-on-year). Output: MT-RAIL-HS.rst.</w:t>
      </w:r>
    </w:p>
    <w:p>
      <w:pPr>
        <w:pStyle w:val="ListParagraph"/>
        <w:numPr>
          <w:ilvl w:val="0"/>
          <w:numId w:val="2"/>
        </w:numPr>
        <w:spacing w:after="80" w:line="264"/>
      </w:pPr>
      <w:r>
        <w:t xml:space="preserve">For each design fire (10/20/50/100 MW) and each fan case (all-fans, N-1, N-2), build a Stage B deck with initialization-file reading on, pointing at MT-RAIL-HS.rst.</w:t>
      </w:r>
    </w:p>
    <w:p>
      <w:pPr>
        <w:pStyle w:val="ListParagraph"/>
        <w:numPr>
          <w:ilvl w:val="0"/>
          <w:numId w:val="2"/>
        </w:numPr>
        <w:spacing w:after="80" w:line="264"/>
      </w:pPr>
      <w:r>
        <w:t xml:space="preserve">Parse-check each Stage B deck (short run, grep the listing for FATAL / undefined input) before the full run.</w:t>
      </w:r>
    </w:p>
    <w:p>
      <w:pPr>
        <w:pStyle w:val="ListParagraph"/>
        <w:numPr>
          <w:ilvl w:val="0"/>
          <w:numId w:val="2"/>
        </w:numPr>
        <w:spacing w:after="80" w:line="264"/>
      </w:pPr>
      <w:r>
        <w:t xml:space="preserve">Run the Stage B family; export the .PRN outputs to D6/D7 for validation and tenability post-processing.</w:t>
      </w:r>
    </w:p>
    <w:p>
      <w:pPr>
        <w:spacing w:after="120" w:line="276"/>
        <w:jc w:val="both"/>
      </w:pPr>
      <w:r>
        <w:t xml:space="preserve">The Stage B family is where the emergency ventilation performance is assessed against the design critical velocities from D2. Because every fire run reads the same restart file, differences between runs reflect fire size and fan configuration only — not inconsistent initial conditions.</w:t>
      </w:r>
    </w:p>
    <w:p>
      <w:pPr>
        <w:pStyle w:val="Heading1"/>
        <w:spacing w:after="120" w:before="240"/>
      </w:pPr>
      <w:r>
        <w:t xml:space="preserve">6  Verification &amp; Limitations</w:t>
      </w:r>
    </w:p>
    <w:p>
      <w:pPr>
        <w:pStyle w:val="ListParagraph"/>
        <w:numPr>
          <w:ilvl w:val="0"/>
          <w:numId w:val="1"/>
        </w:numPr>
        <w:spacing w:after="60" w:line="264"/>
      </w:pPr>
      <w:r>
        <w:t xml:space="preserve">The restart-file write/read options and their default states were confirmed from the reference SES output listings (writing=0, reading=0 in the validation decks; print groups report NEITHER SUMMARY NOR INITIALIZATION).</w:t>
      </w:r>
    </w:p>
    <w:p>
      <w:pPr>
        <w:pStyle w:val="ListParagraph"/>
        <w:numPr>
          <w:ilvl w:val="0"/>
          <w:numId w:val="1"/>
        </w:numPr>
        <w:spacing w:after="60" w:line="264"/>
      </w:pPr>
      <w:r>
        <w:t xml:space="preserve">Setting the options through Next-In avoids fixed-format column errors; the restart filename is entered on Form 1 (cell F48 in current versions).</w:t>
      </w:r>
    </w:p>
    <w:p>
      <w:pPr>
        <w:pStyle w:val="ListParagraph"/>
        <w:numPr>
          <w:ilvl w:val="0"/>
          <w:numId w:val="1"/>
        </w:numPr>
        <w:spacing w:after="60" w:line="264"/>
      </w:pPr>
      <w:r>
        <w:t xml:space="preserve">Rail heat-load values in §4 are structural placeholders pending client timetable and rolling-stock data; they do not change the workflow, only the equilibrium temperatures.</w:t>
      </w:r>
    </w:p>
    <w:p>
      <w:pPr>
        <w:pStyle w:val="ListParagraph"/>
        <w:numPr>
          <w:ilvl w:val="0"/>
          <w:numId w:val="1"/>
        </w:numPr>
        <w:spacing w:after="60" w:line="264"/>
      </w:pPr>
      <w:r>
        <w:t xml:space="preserve">Equilibrium is judged by year-on-year stability of deep-ground node temperatures in the Heat Sink Summary.</w:t>
      </w:r>
    </w:p>
    <w:p>
      <w:pPr>
        <w:pStyle w:val="ListParagraph"/>
        <w:numPr>
          <w:ilvl w:val="0"/>
          <w:numId w:val="1"/>
        </w:numPr>
        <w:spacing w:after="60" w:line="264"/>
      </w:pPr>
      <w:r>
        <w:t xml:space="preserve">An SI build of SES (WSP) exists and is compatible with Next-In/Next-Out; adopting it would remove the IP↔SI conversion step used elsewhere in this project. To be decided with the client.</w:t>
      </w:r>
    </w:p>
    <w:p>
      <w:pPr>
        <w:spacing w:before="240"/>
        <w:jc w:val="center"/>
      </w:pPr>
      <w:r>
        <w:rPr>
          <w:i/>
          <w:iCs/>
          <w:color w:val="555555"/>
        </w:rPr>
        <w:t xml:space="preserve">— End of Long-Term Heat Sink Analysis (Rev A)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Synoptic CFD — Confidential          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4" w:space="4"/>
      </w:pBdr>
      <w:jc w:val="right"/>
    </w:pPr>
    <w:r>
      <w:rPr>
        <w:color w:val="555555"/>
        <w:sz w:val="15"/>
        <w:szCs w:val="15"/>
      </w:rPr>
      <w:t xml:space="preserve">Memorial Tunnel TVS  |  Long-Term Heat Sink Analysis  |  Doc. STN-MT-HSK-005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bCs/>
        <w:color w:val="2E7D8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4E5F"/>
      <w:sz w:val="30"/>
      <w:szCs w:val="30"/>
    </w:rPr>
  </w:style>
  <w:style w:type="paragraph" w:styleId="Heading2">
    <w:name w:val="Heading 2"/>
    <w:basedOn w:val="Normal"/>
    <w:next w:val="Normal"/>
    <w:qFormat/>
    <w:pPr>
      <w:spacing w:after="100" w:before="220"/>
      <w:outlineLvl w:val="1"/>
    </w:pPr>
    <w:rPr>
      <w:b/>
      <w:bCs/>
      <w:color w:val="2E7D8C"/>
      <w:sz w:val="25"/>
      <w:szCs w:val="25"/>
    </w:rPr>
  </w:style>
  <w:style w:type="paragraph" w:styleId="Heading3">
    <w:name w:val="Heading 3"/>
    <w:basedOn w:val="Normal"/>
    <w:next w:val="Normal"/>
    <w:qFormat/>
    <w:pPr>
      <w:spacing w:after="80" w:before="160"/>
      <w:outlineLvl w:val="2"/>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Tunnel TVS — Long-Term Heat Sink Analysis</dc:title>
  <dc:creator>Synoptic CFD</dc:creator>
  <cp:lastModifiedBy>Un-named</cp:lastModifiedBy>
  <cp:revision>1</cp:revision>
  <dcterms:created xsi:type="dcterms:W3CDTF">2026-07-01T12:15:02.333Z</dcterms:created>
  <dcterms:modified xsi:type="dcterms:W3CDTF">2026-07-01T12:15:02.351Z</dcterms:modified>
</cp:coreProperties>
</file>

<file path=docProps/custom.xml><?xml version="1.0" encoding="utf-8"?>
<Properties xmlns="http://schemas.openxmlformats.org/officeDocument/2006/custom-properties" xmlns:vt="http://schemas.openxmlformats.org/officeDocument/2006/docPropsVTypes"/>
</file>