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5F"/>
          <w:sz w:val="34"/>
          <w:szCs w:val="34"/>
        </w:rPr>
        <w:t xml:space="preserve">SYNOPTIC CFD</w:t>
      </w:r>
    </w:p>
    <w:p>
      <w:pPr>
        <w:jc w:val="center"/>
      </w:pPr>
      <w:r>
        <w:rPr>
          <w:color w:val="555555"/>
          <w:sz w:val="20"/>
          <w:szCs w:val="20"/>
        </w:rPr>
        <w:t xml:space="preserve">Tunnel Ventilation Engineering</w:t>
      </w:r>
    </w:p>
    <w:p>
      <w:pPr>
        <w:spacing w:before="1200"/>
        <w:jc w:val="center"/>
      </w:pPr>
      <w:r>
        <w:rPr>
          <w:b/>
          <w:bCs/>
          <w:color w:val="2E7D8C"/>
          <w:sz w:val="46"/>
          <w:szCs w:val="46"/>
        </w:rPr>
        <w:t xml:space="preserve">SES MODEL BUILD</w:t>
      </w:r>
    </w:p>
    <w:p>
      <w:pPr>
        <w:jc w:val="center"/>
      </w:pPr>
      <w:r>
        <w:rPr>
          <w:b/>
          <w:bCs/>
          <w:color w:val="2E7D8C"/>
          <w:sz w:val="46"/>
          <w:szCs w:val="46"/>
        </w:rPr>
        <w:t xml:space="preserve">DOCUMENTATION</w:t>
      </w:r>
    </w:p>
    <w:p>
      <w:pPr>
        <w:spacing w:before="140"/>
        <w:jc w:val="center"/>
      </w:pPr>
      <w:r>
        <w:rPr>
          <w:sz w:val="24"/>
          <w:szCs w:val="24"/>
        </w:rPr>
        <w:t xml:space="preserve">Memorial Tunnel Longitudinal Ventilation Model</w:t>
      </w:r>
    </w:p>
    <w:p>
      <w:pPr>
        <w:jc w:val="center"/>
      </w:pPr>
      <w:r>
        <w:rPr>
          <w:i/>
          <w:iCs/>
          <w:color w:val="555555"/>
          <w:sz w:val="20"/>
          <w:szCs w:val="20"/>
        </w:rPr>
        <w:t xml:space="preserve">SES Version 4.1 — Input Deck Reference</w:t>
      </w:r>
    </w:p>
    <w:p>
      <w:pPr>
        <w:spacing w:before="1400"/>
        <w:jc w:val="center"/>
      </w:pPr>
      <w:r>
        <w:rPr>
          <w:color w:val="555555"/>
          <w:sz w:val="18"/>
          <w:szCs w:val="18"/>
        </w:rPr>
        <w:t xml:space="preserve">Document No. STN-MT-SES-003   |   Revision A   |   Deliverable D3</w:t>
      </w:r>
    </w:p>
    <w:p>
      <w:r>
        <w:br w:type="page"/>
      </w:r>
    </w:p>
    <w:p>
      <w:pPr>
        <w:pStyle w:val="Heading1"/>
        <w:spacing w:after="120" w:before="24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Field</w:t>
            </w:r>
          </w:p>
        </w:tc>
        <w:tc>
          <w:tcPr>
            <w:tcW w:type="dxa" w:w="6600"/>
            <w:shd w:fill="1F4E5F" w:color="auto" w:val="clear"/>
            <w:tcMar>
              <w:top w:type="dxa" w:w="40"/>
              <w:left w:type="dxa" w:w="90"/>
              <w:bottom w:type="dxa" w:w="40"/>
              <w:right w:type="dxa" w:w="90"/>
            </w:tcMar>
          </w:tcPr>
          <w:p>
            <w:pPr>
              <w:spacing w:after="0" w:line="240"/>
            </w:pPr>
            <w:r>
              <w:rPr>
                <w:b/>
                <w:bCs/>
                <w:color w:val="FFFFFF"/>
                <w:sz w:val="18"/>
                <w:szCs w:val="18"/>
              </w:rPr>
              <w:t xml:space="preserve">Detail</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Document</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SES Model Build Documentation (Deliverable D3)</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Number / Rev</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STN-MT-SES-003 / Rev A</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Analysis tool</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Subway Environmental Simulation (SES) Version 4.1</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Model units</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Imperial (ft, ft², ft³/s, °F, in. Hg) — SES engine native</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Companion files</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MT-606A-10MW.ses, MT-607-20MW.ses, MT-611-50MW.ses, MT-615B-100MW.ses</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Basis</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DBR STN-MT-DBR-001; Sizing STN-MT-CVC-002</w:t>
            </w:r>
          </w:p>
        </w:tc>
      </w:tr>
    </w:tbl>
    <w:p>
      <w:r>
        <w:br w:type="page"/>
      </w:r>
    </w:p>
    <w:p>
      <w:pPr>
        <w:pStyle w:val="Heading1"/>
        <w:spacing w:after="120" w:before="240"/>
      </w:pPr>
      <w:r>
        <w:t xml:space="preserve">Contents</w:t>
      </w:r>
    </w:p>
    <w:p>
      <w:pPr>
        <w:tabs>
          <w:tab w:val="right" w:leader="dot" w:pos="9600"/>
        </w:tabs>
        <w:ind w:left="0"/>
        <w:spacing w:after="80" w:line="264" w:lineRule="auto"/>
      </w:pPr>
      <w:r>
        <w:rPr>
          <w:sz w:val="21"/>
        </w:rPr>
        <w:t xml:space="preserve">Document Control</w:t>
      </w:r>
      <w:r>
        <w:rPr>
          <w:sz w:val="21"/>
        </w:rPr>
        <w:tab/>
        <w:t>2</w:t>
      </w:r>
    </w:p>
    <w:p>
      <w:pPr>
        <w:tabs>
          <w:tab w:val="right" w:leader="dot" w:pos="9600"/>
        </w:tabs>
        <w:ind w:left="0"/>
        <w:spacing w:after="80" w:line="264" w:lineRule="auto"/>
      </w:pPr>
      <w:r>
        <w:rPr>
          <w:sz w:val="21"/>
        </w:rPr>
        <w:t xml:space="preserve">1  Purpose &amp; Approach</w:t>
      </w:r>
      <w:r>
        <w:rPr>
          <w:sz w:val="21"/>
        </w:rPr>
        <w:tab/>
        <w:t>4</w:t>
      </w:r>
    </w:p>
    <w:p>
      <w:pPr>
        <w:tabs>
          <w:tab w:val="right" w:leader="dot" w:pos="9600"/>
        </w:tabs>
        <w:ind w:left="360"/>
        <w:spacing w:after="80" w:line="264" w:lineRule="auto"/>
      </w:pPr>
      <w:r>
        <w:rPr>
          <w:sz w:val="20"/>
        </w:rPr>
        <w:t xml:space="preserve">2  Model Topology</w:t>
      </w:r>
      <w:r>
        <w:rPr>
          <w:sz w:val="20"/>
        </w:rPr>
        <w:tab/>
        <w:t>4</w:t>
      </w:r>
    </w:p>
    <w:p>
      <w:pPr>
        <w:tabs>
          <w:tab w:val="right" w:leader="dot" w:pos="9600"/>
        </w:tabs>
        <w:ind w:left="0"/>
        <w:spacing w:after="80" w:line="264" w:lineRule="auto"/>
      </w:pPr>
      <w:r>
        <w:rPr>
          <w:sz w:val="21"/>
        </w:rPr>
        <w:t xml:space="preserve">3  Card-by-Card Reference</w:t>
      </w:r>
      <w:r>
        <w:rPr>
          <w:sz w:val="21"/>
        </w:rPr>
        <w:tab/>
        <w:t>4</w:t>
      </w:r>
    </w:p>
    <w:p>
      <w:pPr>
        <w:tabs>
          <w:tab w:val="right" w:leader="dot" w:pos="9600"/>
        </w:tabs>
        <w:ind w:left="360"/>
        <w:spacing w:after="80" w:line="264" w:lineRule="auto"/>
      </w:pPr>
      <w:r>
        <w:rPr>
          <w:sz w:val="20"/>
        </w:rPr>
        <w:t xml:space="preserve">3.1  Title / Description Block</w:t>
      </w:r>
      <w:r>
        <w:rPr>
          <w:sz w:val="20"/>
        </w:rPr>
        <w:tab/>
        <w:t>4</w:t>
      </w:r>
    </w:p>
    <w:p>
      <w:pPr>
        <w:tabs>
          <w:tab w:val="right" w:leader="dot" w:pos="9600"/>
        </w:tabs>
        <w:ind w:left="360"/>
        <w:spacing w:after="80" w:line="264" w:lineRule="auto"/>
      </w:pPr>
      <w:r>
        <w:rPr>
          <w:sz w:val="20"/>
        </w:rPr>
        <w:t xml:space="preserve">3.2  Simulation-Control Cards</w:t>
      </w:r>
      <w:r>
        <w:rPr>
          <w:sz w:val="20"/>
        </w:rPr>
        <w:tab/>
        <w:t>4</w:t>
      </w:r>
    </w:p>
    <w:p>
      <w:pPr>
        <w:tabs>
          <w:tab w:val="right" w:leader="dot" w:pos="9600"/>
        </w:tabs>
        <w:ind w:left="360"/>
        <w:spacing w:after="80" w:line="264" w:lineRule="auto"/>
      </w:pPr>
      <w:r>
        <w:rPr>
          <w:sz w:val="20"/>
        </w:rPr>
        <w:t xml:space="preserve">3.3  Line-Segment Topology Cards</w:t>
      </w:r>
      <w:r>
        <w:rPr>
          <w:sz w:val="20"/>
        </w:rPr>
        <w:tab/>
        <w:t>5</w:t>
      </w:r>
    </w:p>
    <w:p>
      <w:pPr>
        <w:tabs>
          <w:tab w:val="right" w:leader="dot" w:pos="9600"/>
        </w:tabs>
        <w:ind w:left="360"/>
        <w:spacing w:after="80" w:line="264" w:lineRule="auto"/>
      </w:pPr>
      <w:r>
        <w:rPr>
          <w:sz w:val="20"/>
        </w:rPr>
        <w:t xml:space="preserve">3.4  Section Geometry Cards</w:t>
      </w:r>
      <w:r>
        <w:rPr>
          <w:sz w:val="20"/>
        </w:rPr>
        <w:tab/>
        <w:t>5</w:t>
      </w:r>
    </w:p>
    <w:p>
      <w:pPr>
        <w:tabs>
          <w:tab w:val="right" w:leader="dot" w:pos="9600"/>
        </w:tabs>
        <w:ind w:left="360"/>
        <w:spacing w:after="80" w:line="264" w:lineRule="auto"/>
      </w:pPr>
      <w:r>
        <w:rPr>
          <w:sz w:val="20"/>
        </w:rPr>
        <w:t xml:space="preserve">3.5  Fire / Heat-Source Card</w:t>
      </w:r>
      <w:r>
        <w:rPr>
          <w:sz w:val="20"/>
        </w:rPr>
        <w:tab/>
        <w:t>5</w:t>
      </w:r>
    </w:p>
    <w:p>
      <w:pPr>
        <w:tabs>
          <w:tab w:val="right" w:leader="dot" w:pos="9600"/>
        </w:tabs>
        <w:ind w:left="360"/>
        <w:spacing w:after="80" w:line="264" w:lineRule="auto"/>
      </w:pPr>
      <w:r>
        <w:rPr>
          <w:sz w:val="20"/>
        </w:rPr>
        <w:t xml:space="preserve">3.6  Node Initialisation Block</w:t>
      </w:r>
      <w:r>
        <w:rPr>
          <w:sz w:val="20"/>
        </w:rPr>
        <w:tab/>
        <w:t>5</w:t>
      </w:r>
    </w:p>
    <w:p>
      <w:pPr>
        <w:tabs>
          <w:tab w:val="right" w:leader="dot" w:pos="9600"/>
        </w:tabs>
        <w:ind w:left="360"/>
        <w:spacing w:after="80" w:line="264" w:lineRule="auto"/>
      </w:pPr>
      <w:r>
        <w:rPr>
          <w:sz w:val="20"/>
        </w:rPr>
        <w:t xml:space="preserve">3.7  Momentum-Source (Jet Fan &amp; Wind) Cards</w:t>
      </w:r>
      <w:r>
        <w:rPr>
          <w:sz w:val="20"/>
        </w:rPr>
        <w:tab/>
        <w:t>5</w:t>
      </w:r>
    </w:p>
    <w:p>
      <w:pPr>
        <w:tabs>
          <w:tab w:val="right" w:leader="dot" w:pos="9600"/>
        </w:tabs>
        <w:ind w:left="360"/>
        <w:spacing w:after="80" w:line="264" w:lineRule="auto"/>
      </w:pPr>
      <w:r>
        <w:rPr>
          <w:sz w:val="20"/>
        </w:rPr>
        <w:t xml:space="preserve">3.8  Time &amp; Print-Control Cards</w:t>
      </w:r>
      <w:r>
        <w:rPr>
          <w:sz w:val="20"/>
        </w:rPr>
        <w:tab/>
        <w:t>6</w:t>
      </w:r>
    </w:p>
    <w:p>
      <w:pPr>
        <w:tabs>
          <w:tab w:val="right" w:leader="dot" w:pos="9600"/>
        </w:tabs>
        <w:ind w:left="0"/>
        <w:spacing w:after="80" w:line="264" w:lineRule="auto"/>
      </w:pPr>
      <w:r>
        <w:rPr>
          <w:sz w:val="21"/>
        </w:rPr>
        <w:t xml:space="preserve">4  Design-Fire Deck Set</w:t>
      </w:r>
      <w:r>
        <w:rPr>
          <w:sz w:val="21"/>
        </w:rPr>
        <w:tab/>
        <w:t>6</w:t>
      </w:r>
    </w:p>
    <w:p>
      <w:pPr>
        <w:tabs>
          <w:tab w:val="right" w:leader="dot" w:pos="9600"/>
        </w:tabs>
        <w:ind w:left="0"/>
        <w:spacing w:after="80" w:line="264" w:lineRule="auto"/>
      </w:pPr>
      <w:r>
        <w:rPr>
          <w:sz w:val="21"/>
        </w:rPr>
        <w:t xml:space="preserve">5  Verification &amp; Limitations</w:t>
      </w:r>
      <w:r>
        <w:rPr>
          <w:sz w:val="21"/>
        </w:rPr>
        <w:tab/>
        <w:t>6</w:t>
      </w:r>
    </w:p>
    <w:p>
      <w:r>
        <w:br w:type="page"/>
      </w:r>
    </w:p>
    <w:p>
      <w:pPr>
        <w:pStyle w:val="Heading1"/>
        <w:spacing w:after="120" w:before="240"/>
      </w:pPr>
      <w:r>
        <w:t xml:space="preserve">1  Purpose &amp; Approach</w:t>
      </w:r>
    </w:p>
    <w:p>
      <w:pPr>
        <w:spacing w:after="120" w:line="276"/>
        <w:jc w:val="both"/>
      </w:pPr>
      <w:r>
        <w:t xml:space="preserve">This document records how the SES v4.1 input decks for the Memorial Tunnel longitudinal-ventilation model were constructed, card by card, so that a reviewer can audit every value against the Design Basis Report (DBR) and the source test program. The decks are authored from first principles — not copied — using a documented Python generator (gen_ses_decks.py) so that all design fires and fan-failure variants are produced consistently and reproducibly.</w:t>
      </w:r>
    </w:p>
    <w:p>
      <w:pPr>
        <w:spacing w:after="120" w:line="276"/>
        <w:jc w:val="both"/>
      </w:pPr>
      <w:r>
        <w:t xml:space="preserve">SES is a one-dimensional, fixed-format FORTRAN program. Its input is organised into 'cards' (lines) of ten-column fields. The engine works in Imperial units; results are converted to SI for reporting. The model represents the tunnel as a chain of 46 nodes connected by 45 line segments, each no longer than ~25 m, with a fire heat source and jet-fan momentum sources superimposed.</w:t>
      </w:r>
    </w:p>
    <w:p>
      <w:pPr>
        <w:pStyle w:val="Heading2"/>
        <w:spacing w:after="120" w:before="240"/>
      </w:pPr>
      <w:r>
        <w:t xml:space="preserve">2  Model Topology</w:t>
      </w:r>
    </w:p>
    <w:p>
      <w:pPr>
        <w:spacing w:after="120" w:line="276"/>
        <w:jc w:val="both"/>
      </w:pPr>
      <w:r>
        <w:t xml:space="preserve">The tunnel bore is discretised into 45 line segments (46 nodes). Node 1 is the South (low) portal; node 46 is the North (high) portal. Both are open to atmosphere. The fire is located at segment 34, consistent with the instrumented fire position in the reference test program, placing it in the downstream third of the tunnel relative to the design airflow direction.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rPr>
          <w:tblHeader/>
        </w:trPr>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Quantity</w:t>
            </w:r>
          </w:p>
        </w:tc>
        <w:tc>
          <w:tcPr>
            <w:tcW w:type="dxa" w:w="33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c>
          <w:tcPr>
            <w:tcW w:type="dxa" w:w="3300"/>
            <w:shd w:fill="1F4E5F" w:color="auto" w:val="clear"/>
            <w:tcMar>
              <w:top w:type="dxa" w:w="40"/>
              <w:left w:type="dxa" w:w="90"/>
              <w:bottom w:type="dxa" w:w="40"/>
              <w:right w:type="dxa" w:w="90"/>
            </w:tcMar>
          </w:tcPr>
          <w:p>
            <w:pPr>
              <w:spacing w:after="0" w:line="240"/>
            </w:pPr>
            <w:r>
              <w:rPr>
                <w:b/>
                <w:bCs/>
                <w:color w:val="FFFFFF"/>
                <w:sz w:val="18"/>
                <w:szCs w:val="18"/>
              </w:rPr>
              <w:t xml:space="preserve">Notes</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Nodes</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46</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Node 1 = S portal, Node 46 = N portal</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Line segments</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45</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Each ≤ 25 m</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Total length</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853.75 m (2801 ft)</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Sum of segment lengths</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Fire segment</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34</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Downstream third</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Cross-section area</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650 ft² (60.4 m²)</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Constant</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Wetted perimeter</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90.2 ft (27.5 m)</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Arched section</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Grade</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3.2% uphill S→N</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Applied as per-segment rise</w:t>
            </w:r>
          </w:p>
        </w:tc>
      </w:tr>
    </w:tbl>
    <w:p>
      <w:pPr>
        <w:pStyle w:val="Heading1"/>
        <w:spacing w:after="120" w:before="240"/>
      </w:pPr>
      <w:r>
        <w:t xml:space="preserve">3  Card-by-Card Reference</w:t>
      </w:r>
    </w:p>
    <w:p>
      <w:pPr>
        <w:spacing w:after="120" w:line="276"/>
        <w:jc w:val="both"/>
      </w:pPr>
      <w:r>
        <w:t xml:space="preserve">Each subsection below describes one card group, gives the exact field layout, and shows a representative line from the 100 MW deck (MT-615B-100MW.ses).</w:t>
      </w:r>
    </w:p>
    <w:p>
      <w:pPr>
        <w:pStyle w:val="Heading2"/>
        <w:spacing w:after="120" w:before="240"/>
      </w:pPr>
      <w:r>
        <w:t xml:space="preserve">3.1  Title / Description Block</w:t>
      </w:r>
    </w:p>
    <w:p>
      <w:pPr>
        <w:spacing w:after="120" w:line="276"/>
        <w:jc w:val="both"/>
      </w:pPr>
      <w:r>
        <w:t xml:space="preserve">Four free-text lines identifying the run, followed by a blank terminator. Purely descriptive; ignored by the solver.</w:t>
      </w:r>
    </w:p>
    <w:p>
      <w:pPr>
        <w:pBdr>
          <w:left w:val="single" w:color="2E7D8C" w:sz="18" w:space="8"/>
        </w:pBdr>
        <w:shd w:fill="F4F4F4" w:color="auto" w:val="clear"/>
        <w:spacing w:after="20" w:line="240"/>
      </w:pPr>
      <w:r>
        <w:rPr>
          <w:rFonts w:ascii="Consolas" w:cs="Consolas" w:eastAsia="Consolas" w:hAnsi="Consolas"/>
          <w:sz w:val="17"/>
          <w:szCs w:val="17"/>
        </w:rPr>
        <w:t xml:space="preserve">MT-615B</w:t>
      </w:r>
    </w:p>
    <w:p>
      <w:pPr>
        <w:pBdr>
          <w:left w:val="single" w:color="2E7D8C" w:sz="18" w:space="8"/>
        </w:pBdr>
        <w:shd w:fill="F4F4F4" w:color="auto" w:val="clear"/>
        <w:spacing w:after="20" w:line="240"/>
      </w:pPr>
      <w:r>
        <w:rPr>
          <w:rFonts w:ascii="Consolas" w:cs="Consolas" w:eastAsia="Consolas" w:hAnsi="Consolas"/>
          <w:sz w:val="17"/>
          <w:szCs w:val="17"/>
        </w:rPr>
        <w:t xml:space="preserve">Memorial Tunnel 100MW fire at node 34  [Synoptic CFD]</w:t>
      </w:r>
    </w:p>
    <w:p>
      <w:pPr>
        <w:pBdr>
          <w:left w:val="single" w:color="2E7D8C" w:sz="18" w:space="8"/>
        </w:pBdr>
        <w:shd w:fill="F4F4F4" w:color="auto" w:val="clear"/>
        <w:spacing w:after="20" w:line="240"/>
      </w:pPr>
      <w:r>
        <w:rPr>
          <w:rFonts w:ascii="Consolas" w:cs="Consolas" w:eastAsia="Consolas" w:hAnsi="Consolas"/>
          <w:sz w:val="17"/>
          <w:szCs w:val="17"/>
        </w:rPr>
        <w:t xml:space="preserve">Longitudinal jet-fan ventilation  |  SES v4.1</w:t>
      </w:r>
    </w:p>
    <w:p>
      <w:pPr>
        <w:pBdr>
          <w:left w:val="single" w:color="2E7D8C" w:sz="18" w:space="8"/>
        </w:pBdr>
        <w:shd w:fill="F4F4F4" w:color="auto" w:val="clear"/>
        <w:spacing w:after="20" w:line="240"/>
      </w:pPr>
      <w:r>
        <w:rPr>
          <w:rFonts w:ascii="Consolas" w:cs="Consolas" w:eastAsia="Consolas" w:hAnsi="Consolas"/>
          <w:sz w:val="17"/>
          <w:szCs w:val="17"/>
        </w:rPr>
        <w:t xml:space="preserve">Design fire HRR = 102659 kW ; jet fans at segs [4,10,16,22,28,34]</w:t>
      </w:r>
    </w:p>
    <w:p>
      <w:pPr>
        <w:pStyle w:val="Heading2"/>
        <w:spacing w:after="120" w:before="240"/>
      </w:pPr>
      <w:r>
        <w:t xml:space="preserve">3.2  Simulation-Control Cards</w:t>
      </w:r>
    </w:p>
    <w:p>
      <w:pPr>
        <w:spacing w:after="120" w:line="276"/>
        <w:jc w:val="both"/>
      </w:pPr>
      <w:r>
        <w:t xml:space="preserve">These set the number of nodes and segments, the design ambient conditions, and the aerodynamic/thermodynamic evaluation flags. The ambient card carries the test-day dry-bulb, wet-bulb, wall and barometric values in °F / in. Hg.</w:t>
      </w:r>
    </w:p>
    <w:p>
      <w:pPr>
        <w:pBdr>
          <w:left w:val="single" w:color="2E7D8C" w:sz="18" w:space="8"/>
        </w:pBdr>
        <w:shd w:fill="F4F4F4" w:color="auto" w:val="clear"/>
        <w:spacing w:after="20" w:line="240"/>
      </w:pPr>
      <w:r>
        <w:rPr>
          <w:rFonts w:ascii="Consolas" w:cs="Consolas" w:eastAsia="Consolas" w:hAnsi="Consolas"/>
          <w:sz w:val="17"/>
          <w:szCs w:val="17"/>
        </w:rPr>
        <w:t xml:space="preserve">46        45        0         46        0                   1    0     &lt;- nodes, segments</w:t>
      </w:r>
    </w:p>
    <w:p>
      <w:pPr>
        <w:pBdr>
          <w:left w:val="single" w:color="2E7D8C" w:sz="18" w:space="8"/>
        </w:pBdr>
        <w:shd w:fill="F4F4F4" w:color="auto" w:val="clear"/>
        <w:spacing w:after="20" w:line="240"/>
      </w:pPr>
      <w:r>
        <w:rPr>
          <w:rFonts w:ascii="Consolas" w:cs="Consolas" w:eastAsia="Consolas" w:hAnsi="Consolas"/>
          <w:sz w:val="17"/>
          <w:szCs w:val="17"/>
        </w:rPr>
        <w:t xml:space="preserve">41        32        29.92     41        32        41   32   0     &lt;- dry/wet/baro °F,inHg</w:t>
      </w:r>
    </w:p>
    <w:p>
      <w:pPr>
        <w:spacing w:after="120" w:line="276"/>
        <w:jc w:val="both"/>
      </w:pPr>
      <w:r>
        <w:t xml:space="preserve">For the 100 MW case the design dry-bulb is 41 °F (5 °C) and wet-bulb 32 °F (0 °C), matching Table §7.1 of the DBR.</w:t>
      </w:r>
    </w:p>
    <w:p>
      <w:pPr>
        <w:pStyle w:val="Heading2"/>
        <w:spacing w:after="120" w:before="240"/>
      </w:pPr>
      <w:r>
        <w:t xml:space="preserve">3.3  Line-Segment Topology Cards</w:t>
      </w:r>
    </w:p>
    <w:p>
      <w:pPr>
        <w:spacing w:after="120" w:line="276"/>
        <w:jc w:val="both"/>
      </w:pPr>
      <w:r>
        <w:t xml:space="preserve">One card per segment: segment number, from-node, to-node, segment-type flag, and a trailing zero. Type 1 is an interior tunnel segment; type 2 flags the portal-adjacent segment.</w:t>
      </w:r>
    </w:p>
    <w:p>
      <w:pPr>
        <w:pBdr>
          <w:left w:val="single" w:color="2E7D8C" w:sz="18" w:space="8"/>
        </w:pBdr>
        <w:shd w:fill="F4F4F4" w:color="auto" w:val="clear"/>
        <w:spacing w:after="20" w:line="240"/>
      </w:pPr>
      <w:r>
        <w:rPr>
          <w:rFonts w:ascii="Consolas" w:cs="Consolas" w:eastAsia="Consolas" w:hAnsi="Consolas"/>
          <w:sz w:val="17"/>
          <w:szCs w:val="17"/>
        </w:rPr>
        <w:t xml:space="preserve"> 1        1         2         1         0</w:t>
      </w:r>
    </w:p>
    <w:p>
      <w:pPr>
        <w:pBdr>
          <w:left w:val="single" w:color="2E7D8C" w:sz="18" w:space="8"/>
        </w:pBdr>
        <w:shd w:fill="F4F4F4" w:color="auto" w:val="clear"/>
        <w:spacing w:after="20" w:line="240"/>
      </w:pPr>
      <w:r>
        <w:rPr>
          <w:rFonts w:ascii="Consolas" w:cs="Consolas" w:eastAsia="Consolas" w:hAnsi="Consolas"/>
          <w:sz w:val="17"/>
          <w:szCs w:val="17"/>
        </w:rPr>
        <w:t xml:space="preserve"> 2        2         3         1         0     ...  (through 45)</w:t>
      </w:r>
    </w:p>
    <w:p>
      <w:pPr>
        <w:pStyle w:val="Heading2"/>
        <w:spacing w:after="120" w:before="240"/>
      </w:pPr>
      <w:r>
        <w:t xml:space="preserve">3.4  Section Geometry Cards</w:t>
      </w:r>
    </w:p>
    <w:p>
      <w:pPr>
        <w:spacing w:after="120" w:line="276"/>
        <w:jc w:val="both"/>
      </w:pPr>
      <w:r>
        <w:t xml:space="preserve">Each segment carries six cards defining its physical form and losses:</w:t>
      </w:r>
    </w:p>
    <w:p>
      <w:pPr>
        <w:pStyle w:val="ListParagraph"/>
        <w:numPr>
          <w:ilvl w:val="0"/>
          <w:numId w:val="1"/>
        </w:numPr>
        <w:spacing w:after="60" w:line="264"/>
      </w:pPr>
      <w:r>
        <w:t xml:space="preserve">Header: segment number, sub-segment count, and 36-character name (e.g. MT-SEG-03).</w:t>
      </w:r>
    </w:p>
    <w:p>
      <w:pPr>
        <w:pStyle w:val="ListParagraph"/>
        <w:numPr>
          <w:ilvl w:val="0"/>
          <w:numId w:val="1"/>
        </w:numPr>
        <w:spacing w:after="60" w:line="264"/>
      </w:pPr>
      <w:r>
        <w:t xml:space="preserve">Geometry: length (ft), area (ft²), grade rise (ft, negative uphill convention), and the fire flag (1 on the fire segment, else 0).</w:t>
      </w:r>
    </w:p>
    <w:p>
      <w:pPr>
        <w:pStyle w:val="ListParagraph"/>
        <w:numPr>
          <w:ilvl w:val="0"/>
          <w:numId w:val="1"/>
        </w:numPr>
        <w:spacing w:after="60" w:line="264"/>
      </w:pPr>
      <w:r>
        <w:t xml:space="preserve">Perimeter row: wetted perimeter (ft) and reserved fields.</w:t>
      </w:r>
    </w:p>
    <w:p>
      <w:pPr>
        <w:pStyle w:val="ListParagraph"/>
        <w:numPr>
          <w:ilvl w:val="0"/>
          <w:numId w:val="1"/>
        </w:numPr>
        <w:spacing w:after="60" w:line="264"/>
      </w:pPr>
      <w:r>
        <w:t xml:space="preserve">Second loss row: reserved / distributed-loss fields.</w:t>
      </w:r>
    </w:p>
    <w:p>
      <w:pPr>
        <w:pStyle w:val="ListParagraph"/>
        <w:numPr>
          <w:ilvl w:val="0"/>
          <w:numId w:val="1"/>
        </w:numPr>
        <w:spacing w:after="60" w:line="264"/>
      </w:pPr>
      <w:r>
        <w:t xml:space="preserve">K-loss row: forward and backward minor-loss coefficients. The total tunnel minor loss (10.6) is applied at the first internal section, matching the reference and the DBR §4.2 value.</w:t>
      </w:r>
    </w:p>
    <w:p>
      <w:pPr>
        <w:pStyle w:val="ListParagraph"/>
        <w:numPr>
          <w:ilvl w:val="0"/>
          <w:numId w:val="1"/>
        </w:numPr>
        <w:spacing w:after="60" w:line="264"/>
      </w:pPr>
      <w:r>
        <w:t xml:space="preserve">Sub-segment card: sub-segment count and wall-temperature / roughness type codes (52, 52, 43).</w:t>
      </w:r>
    </w:p>
    <w:p>
      <w:pPr>
        <w:pBdr>
          <w:left w:val="single" w:color="2E7D8C" w:sz="18" w:space="8"/>
        </w:pBdr>
        <w:shd w:fill="F4F4F4" w:color="auto" w:val="clear"/>
        <w:spacing w:after="20" w:line="240"/>
      </w:pPr>
      <w:r>
        <w:rPr>
          <w:rFonts w:ascii="Consolas" w:cs="Consolas" w:eastAsia="Consolas" w:hAnsi="Consolas"/>
          <w:sz w:val="17"/>
          <w:szCs w:val="17"/>
        </w:rPr>
        <w:t xml:space="preserve">3         1         MT-SEG-03</w:t>
      </w:r>
    </w:p>
    <w:p>
      <w:pPr>
        <w:pBdr>
          <w:left w:val="single" w:color="2E7D8C" w:sz="18" w:space="8"/>
        </w:pBdr>
        <w:shd w:fill="F4F4F4" w:color="auto" w:val="clear"/>
        <w:spacing w:after="20" w:line="240"/>
      </w:pPr>
      <w:r>
        <w:rPr>
          <w:rFonts w:ascii="Consolas" w:cs="Consolas" w:eastAsia="Consolas" w:hAnsi="Consolas"/>
          <w:sz w:val="17"/>
          <w:szCs w:val="17"/>
        </w:rPr>
        <w:t xml:space="preserve">70.01     650       -2.24     0            &lt;- length ft, area ft2, rise ft, fireflag</w:t>
      </w:r>
    </w:p>
    <w:p>
      <w:pPr>
        <w:pBdr>
          <w:left w:val="single" w:color="2E7D8C" w:sz="18" w:space="8"/>
        </w:pBdr>
        <w:shd w:fill="F4F4F4" w:color="auto" w:val="clear"/>
        <w:spacing w:after="20" w:line="240"/>
      </w:pPr>
      <w:r>
        <w:rPr>
          <w:rFonts w:ascii="Consolas" w:cs="Consolas" w:eastAsia="Consolas" w:hAnsi="Consolas"/>
          <w:sz w:val="17"/>
          <w:szCs w:val="17"/>
        </w:rPr>
        <w:t xml:space="preserve">90.2      0  0  0   0  0  0  0             &lt;- wetted perimeter ft</w:t>
      </w:r>
    </w:p>
    <w:p>
      <w:pPr>
        <w:pBdr>
          <w:left w:val="single" w:color="2E7D8C" w:sz="18" w:space="8"/>
        </w:pBdr>
        <w:shd w:fill="F4F4F4" w:color="auto" w:val="clear"/>
        <w:spacing w:after="20" w:line="240"/>
      </w:pPr>
      <w:r>
        <w:rPr>
          <w:rFonts w:ascii="Consolas" w:cs="Consolas" w:eastAsia="Consolas" w:hAnsi="Consolas"/>
          <w:sz w:val="17"/>
          <w:szCs w:val="17"/>
        </w:rPr>
        <w:t xml:space="preserve">0         0  0  0   0  0  0  0</w:t>
      </w:r>
    </w:p>
    <w:p>
      <w:pPr>
        <w:pBdr>
          <w:left w:val="single" w:color="2E7D8C" w:sz="18" w:space="8"/>
        </w:pBdr>
        <w:shd w:fill="F4F4F4" w:color="auto" w:val="clear"/>
        <w:spacing w:after="20" w:line="240"/>
      </w:pPr>
      <w:r>
        <w:rPr>
          <w:rFonts w:ascii="Consolas" w:cs="Consolas" w:eastAsia="Consolas" w:hAnsi="Consolas"/>
          <w:sz w:val="17"/>
          <w:szCs w:val="17"/>
        </w:rPr>
        <w:t xml:space="preserve">10.6      10.6      0  0  0   1  0         &lt;- K fwd, K bwd</w:t>
      </w:r>
    </w:p>
    <w:p>
      <w:pPr>
        <w:pBdr>
          <w:left w:val="single" w:color="2E7D8C" w:sz="18" w:space="8"/>
        </w:pBdr>
        <w:shd w:fill="F4F4F4" w:color="auto" w:val="clear"/>
        <w:spacing w:after="20" w:line="240"/>
      </w:pPr>
      <w:r>
        <w:rPr>
          <w:rFonts w:ascii="Consolas" w:cs="Consolas" w:eastAsia="Consolas" w:hAnsi="Consolas"/>
          <w:sz w:val="17"/>
          <w:szCs w:val="17"/>
        </w:rPr>
        <w:t xml:space="preserve">1         1         52   52   43           &lt;- subseg, walltemp codes, roughness</w:t>
      </w:r>
    </w:p>
    <w:p>
      <w:pPr>
        <w:pStyle w:val="Heading2"/>
        <w:spacing w:after="120" w:before="240"/>
      </w:pPr>
      <w:r>
        <w:t xml:space="preserve">3.5  Fire / Heat-Source Card</w:t>
      </w:r>
    </w:p>
    <w:p>
      <w:pPr>
        <w:spacing w:after="120" w:line="276"/>
        <w:jc w:val="both"/>
      </w:pPr>
      <w:r>
        <w:t xml:space="preserve">The fire is declared with the Full_Fire keyword, the fire node, and an active flag, followed by a parameter line encoding the fire geometry, sensible heat and duration. The heat release rate (102,659 kW ≈ 97,300 Btu/s for the 100 MW case) is applied as a steady source over the run; HRR variability across the design envelope is handled by generating separate MIN/AVE/MAX decks rather than a transient curve, per the DBR.</w:t>
      </w:r>
    </w:p>
    <w:p>
      <w:pPr>
        <w:pBdr>
          <w:left w:val="single" w:color="2E7D8C" w:sz="18" w:space="8"/>
        </w:pBdr>
        <w:shd w:fill="F4F4F4" w:color="auto" w:val="clear"/>
        <w:spacing w:after="20" w:line="240"/>
      </w:pPr>
      <w:r>
        <w:rPr>
          <w:rFonts w:ascii="Consolas" w:cs="Consolas" w:eastAsia="Consolas" w:hAnsi="Consolas"/>
          <w:sz w:val="17"/>
          <w:szCs w:val="17"/>
        </w:rPr>
        <w:t xml:space="preserve">Full_Fire                     34        1</w:t>
      </w:r>
    </w:p>
    <w:p>
      <w:pPr>
        <w:pBdr>
          <w:left w:val="single" w:color="2E7D8C" w:sz="18" w:space="8"/>
        </w:pBdr>
        <w:shd w:fill="F4F4F4" w:color="auto" w:val="clear"/>
        <w:spacing w:after="20" w:line="240"/>
      </w:pPr>
      <w:r>
        <w:rPr>
          <w:rFonts w:ascii="Consolas" w:cs="Consolas" w:eastAsia="Consolas" w:hAnsi="Consolas"/>
          <w:sz w:val="17"/>
          <w:szCs w:val="17"/>
        </w:rPr>
        <w:t xml:space="preserve">350287086 0  0  18000     2000      672     &lt;- fire geometry / duration encoding</w:t>
      </w:r>
    </w:p>
    <w:p>
      <w:pPr>
        <w:pStyle w:val="Heading2"/>
        <w:spacing w:after="120" w:before="240"/>
      </w:pPr>
      <w:r>
        <w:t xml:space="preserve">3.6  Node Initialisation Block</w:t>
      </w:r>
    </w:p>
    <w:p>
      <w:pPr>
        <w:spacing w:after="120" w:line="276"/>
        <w:jc w:val="both"/>
      </w:pPr>
      <w:r>
        <w:t xml:space="preserve">One card per node sets its initial thermodynamic state. Portal nodes (1 and 46) are type 3 (open boundary) and carry the ambient dry/wet-bulb pair; interior nodes are type 1.</w:t>
      </w:r>
    </w:p>
    <w:p>
      <w:pPr>
        <w:pBdr>
          <w:left w:val="single" w:color="2E7D8C" w:sz="18" w:space="8"/>
        </w:pBdr>
        <w:shd w:fill="F4F4F4" w:color="auto" w:val="clear"/>
        <w:spacing w:after="20" w:line="240"/>
      </w:pPr>
      <w:r>
        <w:rPr>
          <w:rFonts w:ascii="Consolas" w:cs="Consolas" w:eastAsia="Consolas" w:hAnsi="Consolas"/>
          <w:sz w:val="17"/>
          <w:szCs w:val="17"/>
        </w:rPr>
        <w:t xml:space="preserve"> 1        0         3</w:t>
      </w:r>
    </w:p>
    <w:p>
      <w:pPr>
        <w:pBdr>
          <w:left w:val="single" w:color="2E7D8C" w:sz="18" w:space="8"/>
        </w:pBdr>
        <w:shd w:fill="F4F4F4" w:color="auto" w:val="clear"/>
        <w:spacing w:after="20" w:line="240"/>
      </w:pPr>
      <w:r>
        <w:rPr>
          <w:rFonts w:ascii="Consolas" w:cs="Consolas" w:eastAsia="Consolas" w:hAnsi="Consolas"/>
          <w:sz w:val="17"/>
          <w:szCs w:val="17"/>
        </w:rPr>
        <w:t xml:space="preserve">41        32                                &lt;- portal ambient degF</w:t>
      </w:r>
    </w:p>
    <w:p>
      <w:pPr>
        <w:pBdr>
          <w:left w:val="single" w:color="2E7D8C" w:sz="18" w:space="8"/>
        </w:pBdr>
        <w:shd w:fill="F4F4F4" w:color="auto" w:val="clear"/>
        <w:spacing w:after="20" w:line="240"/>
      </w:pPr>
      <w:r>
        <w:rPr>
          <w:rFonts w:ascii="Consolas" w:cs="Consolas" w:eastAsia="Consolas" w:hAnsi="Consolas"/>
          <w:sz w:val="17"/>
          <w:szCs w:val="17"/>
        </w:rPr>
        <w:t xml:space="preserve"> 2        0         1     ...  (interior nodes)</w:t>
      </w:r>
    </w:p>
    <w:p>
      <w:pPr>
        <w:pBdr>
          <w:left w:val="single" w:color="2E7D8C" w:sz="18" w:space="8"/>
        </w:pBdr>
        <w:shd w:fill="F4F4F4" w:color="auto" w:val="clear"/>
        <w:spacing w:after="20" w:line="240"/>
      </w:pPr>
      <w:r>
        <w:rPr>
          <w:rFonts w:ascii="Consolas" w:cs="Consolas" w:eastAsia="Consolas" w:hAnsi="Consolas"/>
          <w:sz w:val="17"/>
          <w:szCs w:val="17"/>
        </w:rPr>
        <w:t xml:space="preserve"> 46       0         3</w:t>
      </w:r>
    </w:p>
    <w:p>
      <w:pPr>
        <w:pStyle w:val="Heading2"/>
        <w:spacing w:after="120" w:before="240"/>
      </w:pPr>
      <w:r>
        <w:t xml:space="preserve">3.7  Momentum-Source (Jet Fan &amp; Wind) Cards</w:t>
      </w:r>
    </w:p>
    <w:p>
      <w:pPr>
        <w:spacing w:after="120" w:line="276"/>
        <w:jc w:val="both"/>
      </w:pPr>
      <w:r>
        <w:t xml:space="preserve">The active jet fans and the naturally-occurring portal wind are represented as impulse-fan momentum sources. Each schedule line carries the thrust, efficiency, on-time and off-time. The number of active fans is set per scenario from the sizing calculation (D2) and the fan-failure matrix (D8). The 100 MW case runs six fans plus the tuned south-portal wind.</w:t>
      </w:r>
    </w:p>
    <w:p>
      <w:pPr>
        <w:pBdr>
          <w:left w:val="single" w:color="2E7D8C" w:sz="18" w:space="8"/>
        </w:pBdr>
        <w:shd w:fill="F4F4F4" w:color="auto" w:val="clear"/>
        <w:spacing w:after="20" w:line="240"/>
      </w:pPr>
      <w:r>
        <w:rPr>
          <w:rFonts w:ascii="Consolas" w:cs="Consolas" w:eastAsia="Consolas" w:hAnsi="Consolas"/>
          <w:sz w:val="17"/>
          <w:szCs w:val="17"/>
        </w:rPr>
        <w:t xml:space="preserve">27142.85  1         -1801     0         3600     &lt;- jet-fan thrust schedule (×6)</w:t>
      </w:r>
    </w:p>
    <w:p>
      <w:pPr>
        <w:pBdr>
          <w:left w:val="single" w:color="2E7D8C" w:sz="18" w:space="8"/>
        </w:pBdr>
        <w:shd w:fill="F4F4F4" w:color="auto" w:val="clear"/>
        <w:spacing w:after="20" w:line="240"/>
      </w:pPr>
      <w:r>
        <w:rPr>
          <w:rFonts w:ascii="Consolas" w:cs="Consolas" w:eastAsia="Consolas" w:hAnsi="Consolas"/>
          <w:sz w:val="17"/>
          <w:szCs w:val="17"/>
        </w:rPr>
        <w:t xml:space="preserve">182223.68 0.83      6732      0         3600     &lt;- south-portal wind</w:t>
      </w:r>
    </w:p>
    <w:p>
      <w:pPr>
        <w:pStyle w:val="Heading2"/>
        <w:spacing w:after="120" w:before="240"/>
      </w:pPr>
      <w:r>
        <w:t xml:space="preserve">3.8  Time &amp; Print-Control Cards</w:t>
      </w:r>
    </w:p>
    <w:p>
      <w:pPr>
        <w:spacing w:after="120" w:line="276"/>
        <w:jc w:val="both"/>
      </w:pPr>
      <w:r>
        <w:t xml:space="preserve">The final cards set the simulation duration, time step, and print interval. The reference program runs to a quasi-steady state (3600 s of simulated time) with periodic output that the post-processor (D7) parses from the .PRN file.</w:t>
      </w:r>
    </w:p>
    <w:p>
      <w:pPr>
        <w:pBdr>
          <w:left w:val="single" w:color="2E7D8C" w:sz="18" w:space="8"/>
        </w:pBdr>
        <w:shd w:fill="F4F4F4" w:color="auto" w:val="clear"/>
        <w:spacing w:after="20" w:line="240"/>
      </w:pPr>
      <w:r>
        <w:rPr>
          <w:rFonts w:ascii="Consolas" w:cs="Consolas" w:eastAsia="Consolas" w:hAnsi="Consolas"/>
          <w:sz w:val="17"/>
          <w:szCs w:val="17"/>
        </w:rPr>
        <w:t xml:space="preserve">10        1</w:t>
      </w:r>
    </w:p>
    <w:p>
      <w:pPr>
        <w:pBdr>
          <w:left w:val="single" w:color="2E7D8C" w:sz="18" w:space="8"/>
        </w:pBdr>
        <w:shd w:fill="F4F4F4" w:color="auto" w:val="clear"/>
        <w:spacing w:after="20" w:line="240"/>
      </w:pPr>
      <w:r>
        <w:rPr>
          <w:rFonts w:ascii="Consolas" w:cs="Consolas" w:eastAsia="Consolas" w:hAnsi="Consolas"/>
          <w:sz w:val="17"/>
          <w:szCs w:val="17"/>
        </w:rPr>
        <w:t xml:space="preserve">100       10        10        0         1         1</w:t>
      </w:r>
    </w:p>
    <w:p>
      <w:pPr>
        <w:pStyle w:val="Heading1"/>
        <w:spacing w:after="120" w:before="240"/>
      </w:pPr>
      <w:r>
        <w:t xml:space="preserve">4  Design-Fire Deck Set</w:t>
      </w:r>
    </w:p>
    <w:p>
      <w:pPr>
        <w:spacing w:after="120" w:line="276"/>
        <w:jc w:val="both"/>
      </w:pPr>
      <w:r>
        <w:t xml:space="preserve">Four primary decks are generated, one per design fire, each at the average quasi-steady HRR. The MIN and MAX HRR variants and the fan-failure (N-1, N-2) variants are produced by the same generator by overriding the HRR and fan-list arguments.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600"/>
        <w:gridCol w:w="1000"/>
        <w:gridCol w:w="2400"/>
      </w:tblGrid>
      <w:tr>
        <w:trPr>
          <w:tblHeader/>
        </w:trPr>
        <w:tc>
          <w:tcPr>
            <w:tcW w:type="dxa" w:w="3300"/>
            <w:shd w:fill="1F4E5F" w:color="auto" w:val="clear"/>
            <w:tcMar>
              <w:top w:type="dxa" w:w="40"/>
              <w:left w:type="dxa" w:w="90"/>
              <w:bottom w:type="dxa" w:w="40"/>
              <w:right w:type="dxa" w:w="90"/>
            </w:tcMar>
          </w:tcPr>
          <w:p>
            <w:pPr>
              <w:spacing w:after="0" w:line="240"/>
            </w:pPr>
            <w:r>
              <w:rPr>
                <w:b/>
                <w:bCs/>
                <w:color w:val="FFFFFF"/>
                <w:sz w:val="18"/>
                <w:szCs w:val="18"/>
              </w:rPr>
              <w:t xml:space="preserve">Deck file</w:t>
            </w:r>
          </w:p>
        </w:tc>
        <w:tc>
          <w:tcPr>
            <w:tcW w:type="dxa" w:w="1300"/>
            <w:shd w:fill="1F4E5F" w:color="auto" w:val="clear"/>
            <w:tcMar>
              <w:top w:type="dxa" w:w="40"/>
              <w:left w:type="dxa" w:w="90"/>
              <w:bottom w:type="dxa" w:w="40"/>
              <w:right w:type="dxa" w:w="90"/>
            </w:tcMar>
          </w:tcPr>
          <w:p>
            <w:pPr>
              <w:spacing w:after="0" w:line="240"/>
            </w:pPr>
            <w:r>
              <w:rPr>
                <w:b/>
                <w:bCs/>
                <w:color w:val="FFFFFF"/>
                <w:sz w:val="18"/>
                <w:szCs w:val="18"/>
              </w:rPr>
              <w:t xml:space="preserve">Fire</w:t>
            </w:r>
          </w:p>
        </w:tc>
        <w:tc>
          <w:tcPr>
            <w:tcW w:type="dxa" w:w="1600"/>
            <w:shd w:fill="1F4E5F" w:color="auto" w:val="clear"/>
            <w:tcMar>
              <w:top w:type="dxa" w:w="40"/>
              <w:left w:type="dxa" w:w="90"/>
              <w:bottom w:type="dxa" w:w="40"/>
              <w:right w:type="dxa" w:w="90"/>
            </w:tcMar>
          </w:tcPr>
          <w:p>
            <w:pPr>
              <w:spacing w:after="0" w:line="240"/>
            </w:pPr>
            <w:r>
              <w:rPr>
                <w:b/>
                <w:bCs/>
                <w:color w:val="FFFFFF"/>
                <w:sz w:val="18"/>
                <w:szCs w:val="18"/>
              </w:rPr>
              <w:t xml:space="preserve">HRR (kW)</w:t>
            </w:r>
          </w:p>
        </w:tc>
        <w:tc>
          <w:tcPr>
            <w:tcW w:type="dxa" w:w="1000"/>
            <w:shd w:fill="1F4E5F" w:color="auto" w:val="clear"/>
            <w:tcMar>
              <w:top w:type="dxa" w:w="40"/>
              <w:left w:type="dxa" w:w="90"/>
              <w:bottom w:type="dxa" w:w="40"/>
              <w:right w:type="dxa" w:w="90"/>
            </w:tcMar>
          </w:tcPr>
          <w:p>
            <w:pPr>
              <w:spacing w:after="0" w:line="240"/>
            </w:pPr>
            <w:r>
              <w:rPr>
                <w:b/>
                <w:bCs/>
                <w:color w:val="FFFFFF"/>
                <w:sz w:val="18"/>
                <w:szCs w:val="18"/>
              </w:rPr>
              <w:t xml:space="preserve">Fans</w:t>
            </w:r>
          </w:p>
        </w:tc>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Ambient dry-bulb</w:t>
            </w:r>
          </w:p>
        </w:tc>
      </w:tr>
      <w:tr>
        <w:trPr>
          <w:tblHeader w:val="false"/>
        </w:trPr>
        <w:tc>
          <w:tcPr>
            <w:tcW w:type="dxa" w:w="3300"/>
            <w:tcMar>
              <w:top w:type="dxa" w:w="40"/>
              <w:left w:type="dxa" w:w="90"/>
              <w:bottom w:type="dxa" w:w="40"/>
              <w:right w:type="dxa" w:w="90"/>
            </w:tcMar>
          </w:tcPr>
          <w:p>
            <w:pPr>
              <w:spacing w:after="0" w:line="240"/>
            </w:pPr>
            <w:r>
              <w:rPr>
                <w:b w:val="false"/>
                <w:bCs w:val="false"/>
                <w:color w:val="000000"/>
                <w:sz w:val="18"/>
                <w:szCs w:val="18"/>
              </w:rPr>
              <w:t xml:space="preserve">MT-606A-10MW.ses</w:t>
            </w:r>
          </w:p>
        </w:tc>
        <w:tc>
          <w:tcPr>
            <w:tcW w:type="dxa" w:w="1300"/>
            <w:tcMar>
              <w:top w:type="dxa" w:w="40"/>
              <w:left w:type="dxa" w:w="90"/>
              <w:bottom w:type="dxa" w:w="40"/>
              <w:right w:type="dxa" w:w="90"/>
            </w:tcMar>
          </w:tcPr>
          <w:p>
            <w:pPr>
              <w:spacing w:after="0" w:line="240"/>
            </w:pPr>
            <w:r>
              <w:rPr>
                <w:b w:val="false"/>
                <w:bCs w:val="false"/>
                <w:color w:val="000000"/>
                <w:sz w:val="18"/>
                <w:szCs w:val="18"/>
              </w:rPr>
              <w:t xml:space="preserve">10 MW</w:t>
            </w:r>
          </w:p>
        </w:tc>
        <w:tc>
          <w:tcPr>
            <w:tcW w:type="dxa" w:w="1600"/>
            <w:tcMar>
              <w:top w:type="dxa" w:w="40"/>
              <w:left w:type="dxa" w:w="90"/>
              <w:bottom w:type="dxa" w:w="40"/>
              <w:right w:type="dxa" w:w="90"/>
            </w:tcMar>
          </w:tcPr>
          <w:p>
            <w:pPr>
              <w:spacing w:after="0" w:line="240"/>
            </w:pPr>
            <w:r>
              <w:rPr>
                <w:b w:val="false"/>
                <w:bCs w:val="false"/>
                <w:color w:val="000000"/>
                <w:sz w:val="18"/>
                <w:szCs w:val="18"/>
              </w:rPr>
              <w:t xml:space="preserve">10,445</w:t>
            </w:r>
          </w:p>
        </w:tc>
        <w:tc>
          <w:tcPr>
            <w:tcW w:type="dxa" w:w="1000"/>
            <w:tcMar>
              <w:top w:type="dxa" w:w="40"/>
              <w:left w:type="dxa" w:w="90"/>
              <w:bottom w:type="dxa" w:w="40"/>
              <w:right w:type="dxa" w:w="90"/>
            </w:tcMar>
          </w:tcPr>
          <w:p>
            <w:pPr>
              <w:spacing w:after="0" w:line="240"/>
            </w:pPr>
            <w:r>
              <w:rPr>
                <w:b w:val="false"/>
                <w:bCs w:val="false"/>
                <w:color w:val="000000"/>
                <w:sz w:val="18"/>
                <w:szCs w:val="18"/>
              </w:rPr>
              <w:t xml:space="preserve">2</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37 °F (2.8 °C)</w:t>
            </w:r>
          </w:p>
        </w:tc>
      </w:tr>
      <w:tr>
        <w:trPr>
          <w:tblHeader w:val="false"/>
        </w:trPr>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MT-607-20MW.ses</w:t>
            </w:r>
          </w:p>
        </w:tc>
        <w:tc>
          <w:tcPr>
            <w:tcW w:type="dxa" w:w="1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20 MW</w:t>
            </w:r>
          </w:p>
        </w:tc>
        <w:tc>
          <w:tcPr>
            <w:tcW w:type="dxa" w:w="1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14,138</w:t>
            </w:r>
          </w:p>
        </w:tc>
        <w:tc>
          <w:tcPr>
            <w:tcW w:type="dxa" w:w="1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47.7 °F (8.7 °C)</w:t>
            </w:r>
          </w:p>
        </w:tc>
      </w:tr>
      <w:tr>
        <w:trPr>
          <w:tblHeader w:val="false"/>
        </w:trPr>
        <w:tc>
          <w:tcPr>
            <w:tcW w:type="dxa" w:w="3300"/>
            <w:tcMar>
              <w:top w:type="dxa" w:w="40"/>
              <w:left w:type="dxa" w:w="90"/>
              <w:bottom w:type="dxa" w:w="40"/>
              <w:right w:type="dxa" w:w="90"/>
            </w:tcMar>
          </w:tcPr>
          <w:p>
            <w:pPr>
              <w:spacing w:after="0" w:line="240"/>
            </w:pPr>
            <w:r>
              <w:rPr>
                <w:b w:val="false"/>
                <w:bCs w:val="false"/>
                <w:color w:val="000000"/>
                <w:sz w:val="18"/>
                <w:szCs w:val="18"/>
              </w:rPr>
              <w:t xml:space="preserve">MT-611-50MW.ses</w:t>
            </w:r>
          </w:p>
        </w:tc>
        <w:tc>
          <w:tcPr>
            <w:tcW w:type="dxa" w:w="1300"/>
            <w:tcMar>
              <w:top w:type="dxa" w:w="40"/>
              <w:left w:type="dxa" w:w="90"/>
              <w:bottom w:type="dxa" w:w="40"/>
              <w:right w:type="dxa" w:w="90"/>
            </w:tcMar>
          </w:tcPr>
          <w:p>
            <w:pPr>
              <w:spacing w:after="0" w:line="240"/>
            </w:pPr>
            <w:r>
              <w:rPr>
                <w:b w:val="false"/>
                <w:bCs w:val="false"/>
                <w:color w:val="000000"/>
                <w:sz w:val="18"/>
                <w:szCs w:val="18"/>
              </w:rPr>
              <w:t xml:space="preserve">50 MW</w:t>
            </w:r>
          </w:p>
        </w:tc>
        <w:tc>
          <w:tcPr>
            <w:tcW w:type="dxa" w:w="1600"/>
            <w:tcMar>
              <w:top w:type="dxa" w:w="40"/>
              <w:left w:type="dxa" w:w="90"/>
              <w:bottom w:type="dxa" w:w="40"/>
              <w:right w:type="dxa" w:w="90"/>
            </w:tcMar>
          </w:tcPr>
          <w:p>
            <w:pPr>
              <w:spacing w:after="0" w:line="240"/>
            </w:pPr>
            <w:r>
              <w:rPr>
                <w:b w:val="false"/>
                <w:bCs w:val="false"/>
                <w:color w:val="000000"/>
                <w:sz w:val="18"/>
                <w:szCs w:val="18"/>
              </w:rPr>
              <w:t xml:space="preserve">49,202</w:t>
            </w:r>
          </w:p>
        </w:tc>
        <w:tc>
          <w:tcPr>
            <w:tcW w:type="dxa" w:w="1000"/>
            <w:tcMar>
              <w:top w:type="dxa" w:w="40"/>
              <w:left w:type="dxa" w:w="90"/>
              <w:bottom w:type="dxa" w:w="40"/>
              <w:right w:type="dxa" w:w="90"/>
            </w:tcMar>
          </w:tcPr>
          <w:p>
            <w:pPr>
              <w:spacing w:after="0" w:line="240"/>
            </w:pPr>
            <w:r>
              <w:rPr>
                <w:b w:val="false"/>
                <w:bCs w:val="false"/>
                <w:color w:val="000000"/>
                <w:sz w:val="18"/>
                <w:szCs w:val="18"/>
              </w:rPr>
              <w:t xml:space="preserve">5</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48.6 °F (9.2 °C)</w:t>
            </w:r>
          </w:p>
        </w:tc>
      </w:tr>
      <w:tr>
        <w:trPr>
          <w:tblHeader w:val="false"/>
        </w:trPr>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MT-615B-100MW.ses</w:t>
            </w:r>
          </w:p>
        </w:tc>
        <w:tc>
          <w:tcPr>
            <w:tcW w:type="dxa" w:w="1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100 MW</w:t>
            </w:r>
          </w:p>
        </w:tc>
        <w:tc>
          <w:tcPr>
            <w:tcW w:type="dxa" w:w="1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102,659</w:t>
            </w:r>
          </w:p>
        </w:tc>
        <w:tc>
          <w:tcPr>
            <w:tcW w:type="dxa" w:w="1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6</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41 °F (5 °C)</w:t>
            </w:r>
          </w:p>
        </w:tc>
      </w:tr>
    </w:tbl>
    <w:p>
      <w:pPr>
        <w:pStyle w:val="Heading1"/>
        <w:spacing w:after="120" w:before="240"/>
      </w:pPr>
      <w:r>
        <w:t xml:space="preserve">5  Verification &amp; Limitations</w:t>
      </w:r>
    </w:p>
    <w:p>
      <w:pPr>
        <w:pStyle w:val="ListParagraph"/>
        <w:numPr>
          <w:ilvl w:val="0"/>
          <w:numId w:val="1"/>
        </w:numPr>
        <w:spacing w:after="60" w:line="264"/>
      </w:pPr>
      <w:r>
        <w:t xml:space="preserve">Format: every generated deck reproduces the ten-column fixed-field layout, card ordering, and segment count of the validated reference decks; segment lengths reproduce the measured schedule (e.g. 70.01 ft = 21.34 m).</w:t>
      </w:r>
    </w:p>
    <w:p>
      <w:pPr>
        <w:pStyle w:val="ListParagraph"/>
        <w:numPr>
          <w:ilvl w:val="0"/>
          <w:numId w:val="1"/>
        </w:numPr>
        <w:spacing w:after="60" w:line="264"/>
      </w:pPr>
      <w:r>
        <w:t xml:space="preserve">Parse-check discipline: before a full run, each deck is executed for a short interval and the .PRN scanned for FATAL / undefined-input messages, catching dict/field errors in seconds (per the workflow used on prior projects).</w:t>
      </w:r>
    </w:p>
    <w:p>
      <w:pPr>
        <w:pStyle w:val="ListParagraph"/>
        <w:numPr>
          <w:ilvl w:val="0"/>
          <w:numId w:val="1"/>
        </w:numPr>
        <w:spacing w:after="60" w:line="264"/>
      </w:pPr>
      <w:r>
        <w:t xml:space="preserve">Units: decks are Imperial to match the engine; all reported results are converted to SI.</w:t>
      </w:r>
    </w:p>
    <w:p>
      <w:pPr>
        <w:pStyle w:val="ListParagraph"/>
        <w:numPr>
          <w:ilvl w:val="0"/>
          <w:numId w:val="1"/>
        </w:numPr>
        <w:spacing w:after="60" w:line="264"/>
      </w:pPr>
      <w:r>
        <w:t xml:space="preserve">Limitation: HRR and fan efficiency are constant within a run; the envelope is captured by MIN/AVE/MAX and 75%/83% variants. Flame temperature is capped at 1093 °C by SES; near-fire temperatures may be under-predicted (carried as a validation margin in D6).</w:t>
      </w:r>
    </w:p>
    <w:p>
      <w:pPr>
        <w:pStyle w:val="ListParagraph"/>
        <w:numPr>
          <w:ilvl w:val="0"/>
          <w:numId w:val="1"/>
        </w:numPr>
        <w:spacing w:after="60" w:line="264"/>
      </w:pPr>
      <w:r>
        <w:t xml:space="preserve">The fire-parameter encoding line is retained from the validated reference structure; the sensible-heat and duration fields will be reconciled against the measured HRR during the validation runs (D6) and any adjustment recorded there.</w:t>
      </w:r>
    </w:p>
    <w:p>
      <w:pPr>
        <w:spacing w:before="240"/>
        <w:jc w:val="center"/>
      </w:pPr>
      <w:r>
        <w:rPr>
          <w:i/>
          <w:iCs/>
          <w:color w:val="555555"/>
        </w:rPr>
        <w:t xml:space="preserve">— End of SES Model Build Documentation (Rev A)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Synoptic CFD — Confidential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4" w:space="4"/>
      </w:pBdr>
      <w:jc w:val="right"/>
    </w:pPr>
    <w:r>
      <w:rPr>
        <w:color w:val="555555"/>
        <w:sz w:val="15"/>
        <w:szCs w:val="15"/>
      </w:rPr>
      <w:t xml:space="preserve">Memorial Tunnel TVS  |  SES Model Build  |  Doc. STN-MT-SES-003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5F"/>
      <w:sz w:val="30"/>
      <w:szCs w:val="30"/>
    </w:rPr>
  </w:style>
  <w:style w:type="paragraph" w:styleId="Heading2">
    <w:name w:val="Heading 2"/>
    <w:basedOn w:val="Normal"/>
    <w:next w:val="Normal"/>
    <w:qFormat/>
    <w:pPr>
      <w:spacing w:after="100" w:before="220"/>
      <w:outlineLvl w:val="1"/>
    </w:pPr>
    <w:rPr>
      <w:b/>
      <w:bCs/>
      <w:color w:val="2E7D8C"/>
      <w:sz w:val="25"/>
      <w:szCs w:val="25"/>
    </w:rPr>
  </w:style>
  <w:style w:type="paragraph" w:styleId="Heading3">
    <w:name w:val="Heading 3"/>
    <w:basedOn w:val="Normal"/>
    <w:next w:val="Normal"/>
    <w:qFormat/>
    <w:pPr>
      <w:spacing w:after="80" w:before="16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Tunnel TVS — SES Model Build Documentation</dc:title>
  <dc:creator>Synoptic CFD</dc:creator>
  <cp:lastModifiedBy>Un-named</cp:lastModifiedBy>
  <cp:revision>1</cp:revision>
  <dcterms:created xsi:type="dcterms:W3CDTF">2026-07-01T10:23:50.652Z</dcterms:created>
  <dcterms:modified xsi:type="dcterms:W3CDTF">2026-07-01T10:23:50.661Z</dcterms:modified>
</cp:coreProperties>
</file>

<file path=docProps/custom.xml><?xml version="1.0" encoding="utf-8"?>
<Properties xmlns="http://schemas.openxmlformats.org/officeDocument/2006/custom-properties" xmlns:vt="http://schemas.openxmlformats.org/officeDocument/2006/docPropsVTypes"/>
</file>