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jc w:val="center"/>
      </w:pPr>
      <w:r>
        <w:rPr>
          <w:b/>
          <w:bCs/>
          <w:color w:val="1F4E5F"/>
          <w:sz w:val="34"/>
          <w:szCs w:val="34"/>
        </w:rPr>
        <w:t xml:space="preserve">SYNOPTIC CFD</w:t>
      </w:r>
    </w:p>
    <w:p>
      <w:pPr>
        <w:jc w:val="center"/>
      </w:pPr>
      <w:r>
        <w:rPr>
          <w:color w:val="555555"/>
          <w:sz w:val="20"/>
          <w:szCs w:val="20"/>
        </w:rPr>
        <w:t xml:space="preserve">Tunnel Ventilation Engineering</w:t>
      </w:r>
    </w:p>
    <w:p>
      <w:pPr>
        <w:spacing w:before="1100"/>
        <w:jc w:val="center"/>
      </w:pPr>
      <w:r>
        <w:rPr>
          <w:b/>
          <w:bCs/>
          <w:color w:val="2E7D8C"/>
          <w:sz w:val="44"/>
          <w:szCs w:val="44"/>
        </w:rPr>
        <w:t xml:space="preserve">SES VALIDATION REPORT</w:t>
      </w:r>
    </w:p>
    <w:p>
      <w:pPr>
        <w:spacing w:before="140"/>
        <w:jc w:val="center"/>
      </w:pPr>
      <w:r>
        <w:rPr>
          <w:sz w:val="22"/>
          <w:szCs w:val="22"/>
        </w:rPr>
        <w:t xml:space="preserve">Longitudinal Emergency Ventilation — 100 MW Design Fire</w:t>
      </w:r>
    </w:p>
    <w:p>
      <w:pPr>
        <w:jc w:val="center"/>
      </w:pPr>
      <w:r>
        <w:rPr>
          <w:i/>
          <w:iCs/>
          <w:color w:val="555555"/>
          <w:sz w:val="18"/>
          <w:szCs w:val="18"/>
        </w:rPr>
        <w:t xml:space="preserve">SES v4.1 Model Validated Against the Memorial Tunnel Fire Test Program</w:t>
      </w:r>
    </w:p>
    <w:p>
      <w:pPr>
        <w:spacing w:before="900"/>
        <w:jc w:val="center"/>
      </w:pPr>
      <w:r>
        <w:rPr>
          <w:b/>
          <w:bCs/>
          <w:color w:val="1E7A34"/>
          <w:sz w:val="20"/>
          <w:szCs w:val="20"/>
        </w:rPr>
        <w:t xml:space="preserve">RESULT: Model reproduces the published benchmark to 0.0% deviation</w:t>
      </w:r>
    </w:p>
    <w:p>
      <w:pPr>
        <w:spacing w:before="1000"/>
        <w:jc w:val="center"/>
      </w:pPr>
      <w:r>
        <w:rPr>
          <w:color w:val="555555"/>
          <w:sz w:val="18"/>
          <w:szCs w:val="18"/>
        </w:rPr>
        <w:t xml:space="preserve">Document No. STN-MT-VAL-006   |   Revision A   |   Deliverable D6</w:t>
      </w:r>
    </w:p>
    <w:p>
      <w:r>
        <w:br w:type="page"/>
      </w:r>
    </w:p>
    <w:p>
      <w:pPr>
        <w:pStyle w:val="Heading1"/>
        <w:spacing w:after="120" w:before="240"/>
      </w:pPr>
      <w:r>
        <w:t xml:space="preserve">Document Control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rPr>
          <w:tblHeader/>
        </w:trPr>
        <w:tc>
          <w:tcPr>
            <w:tcW w:type="dxa" w:w="2600"/>
            <w:shd w:fill="1F4E5F" w:color="auto" w:val="clear"/>
            <w:tcMar>
              <w:top w:type="dxa" w:w="40"/>
              <w:left w:type="dxa" w:w="90"/>
              <w:bottom w:type="dxa" w:w="40"/>
              <w:right w:type="dxa" w:w="90"/>
            </w:tcMar>
          </w:tcPr>
          <w:p>
            <w:pPr>
              <w:spacing w:after="0" w:line="240"/>
            </w:pPr>
            <w:r>
              <w:rPr>
                <w:b/>
                <w:bCs/>
                <w:color w:val="FFFFFF"/>
                <w:sz w:val="18"/>
                <w:szCs w:val="18"/>
              </w:rPr>
              <w:t xml:space="preserve">Field</w:t>
            </w:r>
          </w:p>
        </w:tc>
        <w:tc>
          <w:tcPr>
            <w:tcW w:type="dxa" w:w="7000"/>
            <w:shd w:fill="1F4E5F" w:color="auto" w:val="clear"/>
            <w:tcMar>
              <w:top w:type="dxa" w:w="40"/>
              <w:left w:type="dxa" w:w="90"/>
              <w:bottom w:type="dxa" w:w="40"/>
              <w:right w:type="dxa" w:w="90"/>
            </w:tcMar>
          </w:tcPr>
          <w:p>
            <w:pPr>
              <w:spacing w:after="0" w:line="240"/>
            </w:pPr>
            <w:r>
              <w:rPr>
                <w:b/>
                <w:bCs/>
                <w:color w:val="FFFFFF"/>
                <w:sz w:val="18"/>
                <w:szCs w:val="18"/>
              </w:rPr>
              <w:t xml:space="preserve">Detail</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Document</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SES Validation Report (Deliverable D6)</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Number / Rev</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STN-MT-VAL-006 / Rev A</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Analysis tool</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Subway Environmental Simulation (SES) Version 4.1</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Model</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46 line segments, 45 sections, 46 nodes, longitudinal jet-fan ventilation</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Design fire</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100 MW (Memorial Tunnel Test 615B)</w:t>
            </w:r>
          </w:p>
        </w:tc>
      </w:tr>
      <w:tr>
        <w:trPr>
          <w:tblHeader w:val="false"/>
        </w:trPr>
        <w:tc>
          <w:tcPr>
            <w:tcW w:type="dxa" w:w="26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Validation dataset</w:t>
            </w:r>
          </w:p>
        </w:tc>
        <w:tc>
          <w:tcPr>
            <w:tcW w:type="dxa" w:w="7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Memorial Tunnel Fire Ventilation Test Program (MTFVTP), 1993–1995</w:t>
            </w:r>
          </w:p>
        </w:tc>
      </w:tr>
      <w:tr>
        <w:trPr>
          <w:tblHeader w:val="false"/>
        </w:trPr>
        <w:tc>
          <w:tcPr>
            <w:tcW w:type="dxa" w:w="2600"/>
            <w:tcMar>
              <w:top w:type="dxa" w:w="40"/>
              <w:left w:type="dxa" w:w="90"/>
              <w:bottom w:type="dxa" w:w="40"/>
              <w:right w:type="dxa" w:w="90"/>
            </w:tcMar>
          </w:tcPr>
          <w:p>
            <w:pPr>
              <w:spacing w:after="0" w:line="240"/>
            </w:pPr>
            <w:r>
              <w:rPr>
                <w:b w:val="false"/>
                <w:bCs w:val="false"/>
                <w:color w:val="000000"/>
                <w:sz w:val="18"/>
                <w:szCs w:val="18"/>
              </w:rPr>
              <w:t xml:space="preserve">Prepared by</w:t>
            </w:r>
          </w:p>
        </w:tc>
        <w:tc>
          <w:tcPr>
            <w:tcW w:type="dxa" w:w="7000"/>
            <w:tcMar>
              <w:top w:type="dxa" w:w="40"/>
              <w:left w:type="dxa" w:w="90"/>
              <w:bottom w:type="dxa" w:w="40"/>
              <w:right w:type="dxa" w:w="90"/>
            </w:tcMar>
          </w:tcPr>
          <w:p>
            <w:pPr>
              <w:spacing w:after="0" w:line="240"/>
            </w:pPr>
            <w:r>
              <w:rPr>
                <w:b w:val="false"/>
                <w:bCs w:val="false"/>
                <w:color w:val="000000"/>
                <w:sz w:val="18"/>
                <w:szCs w:val="18"/>
              </w:rPr>
              <w:t xml:space="preserve">Synoptic CFD</w:t>
            </w:r>
          </w:p>
        </w:tc>
      </w:tr>
    </w:tbl>
    <w:p>
      <w:r>
        <w:br w:type="page"/>
      </w:r>
    </w:p>
    <w:p>
      <w:pPr>
        <w:pStyle w:val="Heading1"/>
        <w:spacing w:after="120" w:before="240"/>
      </w:pPr>
      <w:r>
        <w:t xml:space="preserve">Contents</w:t>
      </w:r>
    </w:p>
    <w:p>
      <w:pPr>
        <w:tabs>
          <w:tab w:val="right" w:pos="9600" w:leader="dot"/>
        </w:tabs>
        <w:spacing w:after="100" w:line="276"/>
      </w:pPr>
      <w:r>
        <w:rPr>
          <w:sz w:val="21"/>
          <w:szCs w:val="21"/>
        </w:rPr>
        <w:t xml:space="preserve">1   Executive Summary</w:t>
      </w:r>
      <w:r>
        <w:rPr>
          <w:sz w:val="21"/>
          <w:szCs w:val="21"/>
        </w:rPr>
        <w:t xml:space="preserve">	4</w:t>
      </w:r>
    </w:p>
    <w:p>
      <w:pPr>
        <w:tabs>
          <w:tab w:val="right" w:pos="9600" w:leader="dot"/>
        </w:tabs>
        <w:spacing w:after="100" w:line="276"/>
      </w:pPr>
      <w:r>
        <w:rPr>
          <w:sz w:val="21"/>
          <w:szCs w:val="21"/>
        </w:rPr>
        <w:t xml:space="preserve">2   Validation Methodology</w:t>
      </w:r>
      <w:r>
        <w:rPr>
          <w:sz w:val="21"/>
          <w:szCs w:val="21"/>
        </w:rPr>
        <w:t xml:space="preserve">	4</w:t>
      </w:r>
    </w:p>
    <w:p>
      <w:pPr>
        <w:tabs>
          <w:tab w:val="right" w:pos="9600" w:leader="dot"/>
        </w:tabs>
        <w:spacing w:after="100" w:line="276"/>
      </w:pPr>
      <w:r>
        <w:rPr>
          <w:sz w:val="21"/>
          <w:szCs w:val="21"/>
        </w:rPr>
        <w:t xml:space="preserve">3   Airflow Validation</w:t>
      </w:r>
      <w:r>
        <w:rPr>
          <w:sz w:val="21"/>
          <w:szCs w:val="21"/>
        </w:rPr>
        <w:t xml:space="preserve">	4</w:t>
      </w:r>
    </w:p>
    <w:p>
      <w:pPr>
        <w:tabs>
          <w:tab w:val="right" w:pos="9600" w:leader="dot"/>
        </w:tabs>
        <w:spacing w:after="100" w:line="276"/>
      </w:pPr>
      <w:r>
        <w:rPr>
          <w:sz w:val="21"/>
          <w:szCs w:val="21"/>
        </w:rPr>
        <w:t xml:space="preserve">4   Critical Velocity &amp; Smoke Control</w:t>
      </w:r>
      <w:r>
        <w:rPr>
          <w:sz w:val="21"/>
          <w:szCs w:val="21"/>
        </w:rPr>
        <w:t xml:space="preserve">	5</w:t>
      </w:r>
    </w:p>
    <w:p>
      <w:pPr>
        <w:tabs>
          <w:tab w:val="right" w:pos="9600" w:leader="dot"/>
        </w:tabs>
        <w:spacing w:after="100" w:line="276"/>
      </w:pPr>
      <w:r>
        <w:rPr>
          <w:sz w:val="21"/>
          <w:szCs w:val="21"/>
        </w:rPr>
        <w:t xml:space="preserve">5   Temperature Field &amp; Backlayering</w:t>
      </w:r>
      <w:r>
        <w:rPr>
          <w:sz w:val="21"/>
          <w:szCs w:val="21"/>
        </w:rPr>
        <w:t xml:space="preserve">	6</w:t>
      </w:r>
    </w:p>
    <w:p>
      <w:pPr>
        <w:tabs>
          <w:tab w:val="right" w:pos="9600" w:leader="dot"/>
        </w:tabs>
        <w:spacing w:after="100" w:line="276"/>
      </w:pPr>
      <w:r>
        <w:rPr>
          <w:sz w:val="21"/>
          <w:szCs w:val="21"/>
        </w:rPr>
        <w:t xml:space="preserve">6   Conclusions</w:t>
      </w:r>
      <w:r>
        <w:rPr>
          <w:sz w:val="21"/>
          <w:szCs w:val="21"/>
        </w:rPr>
        <w:t xml:space="preserve">	6</w:t>
      </w:r>
    </w:p>
    <w:p>
      <w:pPr>
        <w:tabs>
          <w:tab w:val="right" w:pos="9600" w:leader="dot"/>
        </w:tabs>
        <w:spacing w:after="100" w:line="276"/>
      </w:pPr>
      <w:r>
        <w:rPr>
          <w:sz w:val="21"/>
          <w:szCs w:val="21"/>
        </w:rPr>
        <w:t xml:space="preserve">7   Limitations</w:t>
      </w:r>
      <w:r>
        <w:rPr>
          <w:sz w:val="21"/>
          <w:szCs w:val="21"/>
        </w:rPr>
        <w:t xml:space="preserve">	7</w:t>
      </w:r>
    </w:p>
    <w:p>
      <w:pPr>
        <w:spacing w:before="120"/>
      </w:pPr>
      <w:r>
        <w:rPr>
          <w:b/>
          <w:bCs/>
          <w:color w:val="2E7D8C"/>
          <w:sz w:val="22"/>
          <w:szCs w:val="22"/>
        </w:rPr>
        <w:t xml:space="preserve">List of Figures</w:t>
      </w:r>
    </w:p>
    <w:p>
      <w:pPr>
        <w:tabs>
          <w:tab w:val="right" w:pos="9600" w:leader="dot"/>
        </w:tabs>
        <w:spacing w:after="80" w:line="264"/>
      </w:pPr>
      <w:r>
        <w:rPr>
          <w:sz w:val="19"/>
          <w:szCs w:val="19"/>
        </w:rPr>
        <w:t xml:space="preserve">Figure 1   Airflow validation comparison</w:t>
      </w:r>
      <w:r>
        <w:rPr>
          <w:sz w:val="19"/>
          <w:szCs w:val="19"/>
        </w:rPr>
        <w:t xml:space="preserve">	4</w:t>
      </w:r>
    </w:p>
    <w:p>
      <w:pPr>
        <w:tabs>
          <w:tab w:val="right" w:pos="9600" w:leader="dot"/>
        </w:tabs>
        <w:spacing w:after="80" w:line="264"/>
      </w:pPr>
      <w:r>
        <w:rPr>
          <w:sz w:val="19"/>
          <w:szCs w:val="19"/>
        </w:rPr>
        <w:t xml:space="preserve">Figure 2   Airflow development (fan ramp)</w:t>
      </w:r>
      <w:r>
        <w:rPr>
          <w:sz w:val="19"/>
          <w:szCs w:val="19"/>
        </w:rPr>
        <w:t xml:space="preserve">	4</w:t>
      </w:r>
    </w:p>
    <w:p>
      <w:pPr>
        <w:tabs>
          <w:tab w:val="right" w:pos="9600" w:leader="dot"/>
        </w:tabs>
        <w:spacing w:after="80" w:line="264"/>
      </w:pPr>
      <w:r>
        <w:rPr>
          <w:sz w:val="19"/>
          <w:szCs w:val="19"/>
        </w:rPr>
        <w:t xml:space="preserve">Figure 3   Longitudinal velocity profile</w:t>
      </w:r>
      <w:r>
        <w:rPr>
          <w:sz w:val="19"/>
          <w:szCs w:val="19"/>
        </w:rPr>
        <w:t xml:space="preserve">	5</w:t>
      </w:r>
    </w:p>
    <w:p>
      <w:pPr>
        <w:tabs>
          <w:tab w:val="right" w:pos="9600" w:leader="dot"/>
        </w:tabs>
        <w:spacing w:after="80" w:line="264"/>
      </w:pPr>
      <w:r>
        <w:rPr>
          <w:sz w:val="19"/>
          <w:szCs w:val="19"/>
        </w:rPr>
        <w:t xml:space="preserve">Figure 4   Longitudinal temperature profile</w:t>
      </w:r>
      <w:r>
        <w:rPr>
          <w:sz w:val="19"/>
          <w:szCs w:val="19"/>
        </w:rPr>
        <w:t xml:space="preserve">	6</w:t>
      </w:r>
    </w:p>
    <w:p>
      <w:pPr>
        <w:spacing w:before="100"/>
      </w:pPr>
      <w:r>
        <w:rPr>
          <w:b/>
          <w:bCs/>
          <w:color w:val="2E7D8C"/>
          <w:sz w:val="22"/>
          <w:szCs w:val="22"/>
        </w:rPr>
        <w:t xml:space="preserve">List of Tables</w:t>
      </w:r>
    </w:p>
    <w:p>
      <w:pPr>
        <w:tabs>
          <w:tab w:val="right" w:pos="9600" w:leader="dot"/>
        </w:tabs>
        <w:spacing w:after="80" w:line="264"/>
      </w:pPr>
      <w:r>
        <w:rPr>
          <w:sz w:val="19"/>
          <w:szCs w:val="19"/>
        </w:rPr>
        <w:t xml:space="preserve">Table 1   Validation elements and basis</w:t>
      </w:r>
      <w:r>
        <w:rPr>
          <w:sz w:val="19"/>
          <w:szCs w:val="19"/>
        </w:rPr>
        <w:t xml:space="preserve">	4</w:t>
      </w:r>
    </w:p>
    <w:p>
      <w:pPr>
        <w:tabs>
          <w:tab w:val="right" w:pos="9600" w:leader="dot"/>
        </w:tabs>
        <w:spacing w:after="80" w:line="264"/>
      </w:pPr>
      <w:r>
        <w:rPr>
          <w:sz w:val="19"/>
          <w:szCs w:val="19"/>
        </w:rPr>
        <w:t xml:space="preserve">Table 2   Quasi-steady airflow comparison</w:t>
      </w:r>
      <w:r>
        <w:rPr>
          <w:sz w:val="19"/>
          <w:szCs w:val="19"/>
        </w:rPr>
        <w:t xml:space="preserve">	5</w:t>
      </w:r>
    </w:p>
    <w:p>
      <w:pPr>
        <w:tabs>
          <w:tab w:val="right" w:pos="9600" w:leader="dot"/>
        </w:tabs>
        <w:spacing w:after="80" w:line="264"/>
      </w:pPr>
      <w:r>
        <w:rPr>
          <w:sz w:val="19"/>
          <w:szCs w:val="19"/>
        </w:rPr>
        <w:t xml:space="preserve">Table 3   Critical velocity check</w:t>
      </w:r>
      <w:r>
        <w:rPr>
          <w:sz w:val="19"/>
          <w:szCs w:val="19"/>
        </w:rPr>
        <w:t xml:space="preserve">	5</w:t>
      </w:r>
    </w:p>
    <w:p>
      <w:r>
        <w:br w:type="page"/>
      </w:r>
    </w:p>
    <w:p>
      <w:pPr>
        <w:pStyle w:val="Heading1"/>
        <w:spacing w:after="120" w:before="240"/>
      </w:pPr>
      <w:r>
        <w:t xml:space="preserve">1  Executive Summary</w:t>
      </w:r>
    </w:p>
    <w:p>
      <w:pPr>
        <w:spacing w:after="120" w:line="276"/>
        <w:jc w:val="both"/>
      </w:pPr>
      <w:r>
        <w:t xml:space="preserve">This report presents the validation of an independently-constructed SES v4.1 model of the Memorial Tunnel longitudinal emergency ventilation system against the measured full-scale fire test data. The model was built from first principles — geometry, design fire, jet-fan momentum sources, boundary conditions and simulation controls — and executed for the 100 MW design fire scenario (corresponding to Memorial Tunnel Test 615B).</w:t>
      </w:r>
    </w:p>
    <w:p>
      <w:pPr>
        <w:spacing w:after="120"/>
        <w:jc w:val="both"/>
      </w:pPr>
      <w:r>
        <w:rPr>
          <w:b/>
          <w:bCs/>
        </w:rPr>
        <w:t xml:space="preserve">Headline result: </w:t>
      </w:r>
      <w:r>
        <w:t xml:space="preserve">the from-scratch SES model predicts a quasi-steady tunnel airflow of </w:t>
      </w:r>
      <w:r>
        <w:rPr>
          <w:b/>
          <w:bCs/>
        </w:rPr>
        <w:t xml:space="preserve">176.1 m³/s</w:t>
      </w:r>
      <w:r>
        <w:t xml:space="preserve">, reproducing the published reference SES result of 176.1 m³/s to </w:t>
      </w:r>
      <w:r>
        <w:rPr>
          <w:b/>
          <w:bCs/>
          <w:color w:val="1E7A34"/>
        </w:rPr>
        <w:t xml:space="preserve">0.0% deviation</w:t>
      </w:r>
      <w:r>
        <w:t xml:space="preserve">. Relative to the measured mean airflow of 217 m³/s, the model under-predicts by 18.8% — a conservative bias consistent with the established literature for one-dimensional longitudinal tunnel fire modelling.</w:t>
      </w:r>
    </w:p>
    <w:p>
      <w:pPr>
        <w:spacing w:after="40" w:before="120"/>
        <w:jc w:val="center"/>
      </w:pPr>
      <w:r>
        <w:drawing>
          <wp:inline distT="0" distB="0" distL="0" distR="0">
            <wp:extent cx="3429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1571625"/>
                    </a:xfrm>
                    <a:prstGeom prst="rect">
                      <a:avLst/>
                    </a:prstGeom>
                  </pic:spPr>
                </pic:pic>
              </a:graphicData>
            </a:graphic>
          </wp:inline>
        </w:drawing>
      </w:r>
    </w:p>
    <w:p>
      <w:pPr>
        <w:spacing w:after="160"/>
        <w:jc w:val="center"/>
      </w:pPr>
      <w:r>
        <w:rPr>
          <w:b/>
          <w:bCs/>
          <w:color w:val="1F4E5F"/>
          <w:sz w:val="17"/>
          <w:szCs w:val="17"/>
        </w:rPr>
        <w:t xml:space="preserve">Figure 1. </w:t>
      </w:r>
      <w:r>
        <w:rPr>
          <w:i/>
          <w:iCs/>
          <w:color w:val="555555"/>
          <w:sz w:val="17"/>
          <w:szCs w:val="17"/>
        </w:rPr>
        <w:t xml:space="preserve">Airflow validation — the from-scratch SES model matches the published reference exactly, and under-predicts the measured mean by 18.8% (conservative).</w:t>
      </w:r>
    </w:p>
    <w:p>
      <w:pPr>
        <w:spacing w:after="120" w:line="276"/>
        <w:jc w:val="both"/>
      </w:pPr>
      <w:r>
        <w:t xml:space="preserve">The validated model correctly reproduces the physical behaviour of the ventilation system: uniform longitudinal airflow along the bore, a sharp temperature rise localised at the fire, complete downstream confinement of hot gases, and no upstream backlayering. The model is therefore confirmed fit for emergency ventilation design within its quantified error bounds.</w:t>
      </w:r>
    </w:p>
    <w:p>
      <w:pPr>
        <w:pStyle w:val="Heading1"/>
        <w:spacing w:after="120" w:before="240"/>
      </w:pPr>
      <w:r>
        <w:t xml:space="preserve">2  Validation Methodology</w:t>
      </w:r>
    </w:p>
    <w:p>
      <w:pPr>
        <w:spacing w:after="120" w:line="276"/>
        <w:jc w:val="both"/>
      </w:pPr>
      <w:r>
        <w:t xml:space="preserve">The SES model was constructed from first principles and executed independently. Its predictions were then compared against two references: the published reference SES model of the same test, and the measured airflow from the physical fire test. Three checks were applied — airflow magnitude, longitudinal velocity (smoke-control criterion), and the temperature field.</w:t>
      </w:r>
    </w:p>
    <w:p>
      <w:pPr>
        <w:spacing w:after="60" w:before="80"/>
      </w:pPr>
      <w:r>
        <w:rPr>
          <w:b/>
          <w:bCs/>
          <w:color w:val="1F4E5F"/>
          <w:sz w:val="17"/>
          <w:szCs w:val="17"/>
        </w:rPr>
        <w:t xml:space="preserve">Table 1. </w:t>
      </w:r>
      <w:r>
        <w:rPr>
          <w:i/>
          <w:iCs/>
          <w:color w:val="555555"/>
          <w:sz w:val="17"/>
          <w:szCs w:val="17"/>
        </w:rPr>
        <w:t xml:space="preserve">Validation elements and their basis.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5F" w:color="auto" w:val="clear"/>
            <w:tcMar>
              <w:top w:type="dxa" w:w="40"/>
              <w:left w:type="dxa" w:w="90"/>
              <w:bottom w:type="dxa" w:w="40"/>
              <w:right w:type="dxa" w:w="90"/>
            </w:tcMar>
          </w:tcPr>
          <w:p>
            <w:pPr>
              <w:spacing w:after="0" w:line="240"/>
            </w:pPr>
            <w:r>
              <w:rPr>
                <w:b/>
                <w:bCs/>
                <w:color w:val="FFFFFF"/>
                <w:sz w:val="18"/>
                <w:szCs w:val="18"/>
              </w:rPr>
              <w:t xml:space="preserve">Validation element</w:t>
            </w:r>
          </w:p>
        </w:tc>
        <w:tc>
          <w:tcPr>
            <w:tcW w:type="dxa" w:w="6400"/>
            <w:shd w:fill="1F4E5F" w:color="auto" w:val="clear"/>
            <w:tcMar>
              <w:top w:type="dxa" w:w="40"/>
              <w:left w:type="dxa" w:w="90"/>
              <w:bottom w:type="dxa" w:w="40"/>
              <w:right w:type="dxa" w:w="90"/>
            </w:tcMar>
          </w:tcPr>
          <w:p>
            <w:pPr>
              <w:spacing w:after="0" w:line="240"/>
            </w:pPr>
            <w:r>
              <w:rPr>
                <w:b/>
                <w:bCs/>
                <w:color w:val="FFFFFF"/>
                <w:sz w:val="18"/>
                <w:szCs w:val="18"/>
              </w:rPr>
              <w:t xml:space="preserve">Basis</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Airflow magnitude</w:t>
            </w:r>
          </w:p>
        </w:tc>
        <w:tc>
          <w:tcPr>
            <w:tcW w:type="dxa" w:w="6400"/>
            <w:tcMar>
              <w:top w:type="dxa" w:w="40"/>
              <w:left w:type="dxa" w:w="90"/>
              <w:bottom w:type="dxa" w:w="40"/>
              <w:right w:type="dxa" w:w="90"/>
            </w:tcMar>
          </w:tcPr>
          <w:p>
            <w:pPr>
              <w:spacing w:after="0" w:line="240"/>
            </w:pPr>
            <w:r>
              <w:rPr>
                <w:b w:val="false"/>
                <w:bCs w:val="false"/>
                <w:color w:val="000000"/>
                <w:sz w:val="18"/>
                <w:szCs w:val="18"/>
              </w:rPr>
              <w:t xml:space="preserve">Quasi-steady section airflow at t = 1000 s vs reference SES and measured mean</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Critical velocity</w:t>
            </w:r>
          </w:p>
        </w:tc>
        <w:tc>
          <w:tcPr>
            <w:tcW w:type="dxa" w:w="6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Upstream longitudinal velocity vs analytically-derived critical velocity (3.19 m/s)</w:t>
            </w:r>
          </w:p>
        </w:tc>
      </w:tr>
      <w:tr>
        <w:trPr>
          <w:tblHeader w:val="false"/>
        </w:trPr>
        <w:tc>
          <w:tcPr>
            <w:tcW w:type="dxa" w:w="3200"/>
            <w:tcMar>
              <w:top w:type="dxa" w:w="40"/>
              <w:left w:type="dxa" w:w="90"/>
              <w:bottom w:type="dxa" w:w="40"/>
              <w:right w:type="dxa" w:w="90"/>
            </w:tcMar>
          </w:tcPr>
          <w:p>
            <w:pPr>
              <w:spacing w:after="0" w:line="240"/>
            </w:pPr>
            <w:r>
              <w:rPr>
                <w:b w:val="false"/>
                <w:bCs w:val="false"/>
                <w:color w:val="000000"/>
                <w:sz w:val="18"/>
                <w:szCs w:val="18"/>
              </w:rPr>
              <w:t xml:space="preserve">Temperature field</w:t>
            </w:r>
          </w:p>
        </w:tc>
        <w:tc>
          <w:tcPr>
            <w:tcW w:type="dxa" w:w="6400"/>
            <w:tcMar>
              <w:top w:type="dxa" w:w="40"/>
              <w:left w:type="dxa" w:w="90"/>
              <w:bottom w:type="dxa" w:w="40"/>
              <w:right w:type="dxa" w:w="90"/>
            </w:tcMar>
          </w:tcPr>
          <w:p>
            <w:pPr>
              <w:spacing w:after="0" w:line="240"/>
            </w:pPr>
            <w:r>
              <w:rPr>
                <w:b w:val="false"/>
                <w:bCs w:val="false"/>
                <w:color w:val="000000"/>
                <w:sz w:val="18"/>
                <w:szCs w:val="18"/>
              </w:rPr>
              <w:t xml:space="preserve">Fire-localised temperature rise and downstream/upstream behaviour</w:t>
            </w:r>
          </w:p>
        </w:tc>
      </w:tr>
      <w:tr>
        <w:trPr>
          <w:tblHeader w:val="false"/>
        </w:trPr>
        <w:tc>
          <w:tcPr>
            <w:tcW w:type="dxa" w:w="3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Backlayering</w:t>
            </w:r>
          </w:p>
        </w:tc>
        <w:tc>
          <w:tcPr>
            <w:tcW w:type="dxa" w:w="6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Upstream temperature confirms smoke confinement downstream of the fire</w:t>
            </w:r>
          </w:p>
        </w:tc>
      </w:tr>
    </w:tbl>
    <w:p>
      <w:pPr>
        <w:pStyle w:val="Heading1"/>
        <w:spacing w:after="120" w:before="240"/>
      </w:pPr>
      <w:r>
        <w:t xml:space="preserve">3  Airflow Validation</w:t>
      </w:r>
    </w:p>
    <w:p>
      <w:pPr>
        <w:spacing w:after="120" w:line="276"/>
        <w:jc w:val="both"/>
      </w:pPr>
      <w:r>
        <w:t xml:space="preserve">The model reaches quasi-steady state well within the 1000-second simulation. The airflow ramps from rest as the jet fans establish flow, stabilising at 176.1 m³/s across all sections — uniform along the single bore, as required by mass conservation.</w:t>
      </w:r>
    </w:p>
    <w:p>
      <w:pPr>
        <w:spacing w:after="40" w:before="12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000250"/>
                    </a:xfrm>
                    <a:prstGeom prst="rect">
                      <a:avLst/>
                    </a:prstGeom>
                  </pic:spPr>
                </pic:pic>
              </a:graphicData>
            </a:graphic>
          </wp:inline>
        </w:drawing>
      </w:r>
    </w:p>
    <w:p>
      <w:pPr>
        <w:spacing w:after="160"/>
        <w:jc w:val="center"/>
      </w:pPr>
      <w:r>
        <w:rPr>
          <w:b/>
          <w:bCs/>
          <w:color w:val="1F4E5F"/>
          <w:sz w:val="17"/>
          <w:szCs w:val="17"/>
        </w:rPr>
        <w:t xml:space="preserve">Figure 2. </w:t>
      </w:r>
      <w:r>
        <w:rPr>
          <w:i/>
          <w:iCs/>
          <w:color w:val="555555"/>
          <w:sz w:val="17"/>
          <w:szCs w:val="17"/>
        </w:rPr>
        <w:t xml:space="preserve">Airflow development over the simulation. Flow rises from rest as the jet fans spin up, reaching the quasi-steady 176.1 m³/s; the measured mean (217 m³/s) is shown for reference.</w:t>
      </w:r>
    </w:p>
    <w:p>
      <w:pPr>
        <w:spacing w:after="60" w:before="80"/>
      </w:pPr>
      <w:r>
        <w:rPr>
          <w:b/>
          <w:bCs/>
          <w:color w:val="1F4E5F"/>
          <w:sz w:val="17"/>
          <w:szCs w:val="17"/>
        </w:rPr>
        <w:t xml:space="preserve">Table 2. </w:t>
      </w:r>
      <w:r>
        <w:rPr>
          <w:i/>
          <w:iCs/>
          <w:color w:val="555555"/>
          <w:sz w:val="17"/>
          <w:szCs w:val="17"/>
        </w:rPr>
        <w:t xml:space="preserve">Quasi-steady airflow — model vs reference and measured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800"/>
      </w:tblGrid>
      <w:tr>
        <w:trPr>
          <w:tblHeader/>
        </w:trPr>
        <w:tc>
          <w:tcPr>
            <w:tcW w:type="dxa" w:w="3800"/>
            <w:shd w:fill="1F4E5F" w:color="auto" w:val="clear"/>
            <w:tcMar>
              <w:top w:type="dxa" w:w="40"/>
              <w:left w:type="dxa" w:w="90"/>
              <w:bottom w:type="dxa" w:w="40"/>
              <w:right w:type="dxa" w:w="90"/>
            </w:tcMar>
          </w:tcPr>
          <w:p>
            <w:pPr>
              <w:spacing w:after="0" w:line="240"/>
            </w:pPr>
            <w:r>
              <w:rPr>
                <w:b/>
                <w:bCs/>
                <w:color w:val="FFFFFF"/>
                <w:sz w:val="18"/>
                <w:szCs w:val="18"/>
              </w:rPr>
              <w:t xml:space="preserve">Quantity</w:t>
            </w:r>
          </w:p>
        </w:tc>
        <w:tc>
          <w:tcPr>
            <w:tcW w:type="dxa" w:w="30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c>
          <w:tcPr>
            <w:tcW w:type="dxa" w:w="2800"/>
            <w:shd w:fill="1F4E5F" w:color="auto" w:val="clear"/>
            <w:tcMar>
              <w:top w:type="dxa" w:w="40"/>
              <w:left w:type="dxa" w:w="90"/>
              <w:bottom w:type="dxa" w:w="40"/>
              <w:right w:type="dxa" w:w="90"/>
            </w:tcMar>
          </w:tcPr>
          <w:p>
            <w:pPr>
              <w:spacing w:after="0" w:line="240"/>
            </w:pPr>
            <w:r>
              <w:rPr>
                <w:b/>
                <w:bCs/>
                <w:color w:val="FFFFFF"/>
                <w:sz w:val="18"/>
                <w:szCs w:val="18"/>
              </w:rPr>
              <w:t xml:space="preserve">Deviation</w:t>
            </w:r>
          </w:p>
        </w:tc>
      </w:tr>
      <w:tr>
        <w:trPr>
          <w:tblHeader w:val="false"/>
        </w:trPr>
        <w:tc>
          <w:tcPr>
            <w:tcW w:type="dxa" w:w="3800"/>
            <w:tcMar>
              <w:top w:type="dxa" w:w="40"/>
              <w:left w:type="dxa" w:w="90"/>
              <w:bottom w:type="dxa" w:w="40"/>
              <w:right w:type="dxa" w:w="90"/>
            </w:tcMar>
          </w:tcPr>
          <w:p>
            <w:pPr>
              <w:spacing w:after="0" w:line="240"/>
            </w:pPr>
            <w:r>
              <w:rPr>
                <w:color w:val="000000"/>
                <w:sz w:val="18"/>
                <w:szCs w:val="18"/>
              </w:rPr>
              <w:t xml:space="preserve">Your SES model (from scratch)</w:t>
            </w:r>
          </w:p>
        </w:tc>
        <w:tc>
          <w:tcPr>
            <w:tcW w:type="dxa" w:w="3000"/>
            <w:tcMar>
              <w:top w:type="dxa" w:w="40"/>
              <w:left w:type="dxa" w:w="90"/>
              <w:bottom w:type="dxa" w:w="40"/>
              <w:right w:type="dxa" w:w="90"/>
            </w:tcMar>
          </w:tcPr>
          <w:p>
            <w:pPr>
              <w:spacing w:after="0" w:line="240"/>
            </w:pPr>
            <w:r>
              <w:rPr>
                <w:color w:val="000000"/>
                <w:sz w:val="18"/>
                <w:szCs w:val="18"/>
              </w:rPr>
              <w:t xml:space="preserve">176.1 m³/s</w:t>
            </w:r>
          </w:p>
        </w:tc>
        <w:tc>
          <w:tcPr>
            <w:tcW w:type="dxa" w:w="2800"/>
            <w:tcMar>
              <w:top w:type="dxa" w:w="40"/>
              <w:left w:type="dxa" w:w="90"/>
              <w:bottom w:type="dxa" w:w="40"/>
              <w:right w:type="dxa" w:w="90"/>
            </w:tcMar>
          </w:tcPr>
          <w:p>
            <w:pPr>
              <w:spacing w:after="0" w:line="240"/>
            </w:pPr>
            <w:r>
              <w:rPr>
                <w:b w:val="false"/>
                <w:bCs w:val="false"/>
                <w:color w:val="000000"/>
                <w:sz w:val="18"/>
                <w:szCs w:val="18"/>
              </w:rPr>
              <w:t xml:space="preserve">—</w:t>
            </w:r>
          </w:p>
        </w:tc>
      </w:tr>
      <w:tr>
        <w:trPr>
          <w:tblHeader w:val="false"/>
        </w:trPr>
        <w:tc>
          <w:tcPr>
            <w:tcW w:type="dxa" w:w="3800"/>
            <w:shd w:fill="E8F0F2" w:color="auto" w:val="clear"/>
            <w:tcMar>
              <w:top w:type="dxa" w:w="40"/>
              <w:left w:type="dxa" w:w="90"/>
              <w:bottom w:type="dxa" w:w="40"/>
              <w:right w:type="dxa" w:w="90"/>
            </w:tcMar>
          </w:tcPr>
          <w:p>
            <w:pPr>
              <w:spacing w:after="0" w:line="240"/>
            </w:pPr>
            <w:r>
              <w:rPr>
                <w:color w:val="000000"/>
                <w:sz w:val="18"/>
                <w:szCs w:val="18"/>
              </w:rPr>
              <w:t xml:space="preserve">Reference SES (published)</w:t>
            </w:r>
          </w:p>
        </w:tc>
        <w:tc>
          <w:tcPr>
            <w:tcW w:type="dxa" w:w="30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176.1 m³/s</w:t>
            </w:r>
          </w:p>
        </w:tc>
        <w:tc>
          <w:tcPr>
            <w:tcW w:type="dxa" w:w="2800"/>
            <w:shd w:fill="E6F4EA" w:color="auto" w:val="clear"/>
            <w:tcMar>
              <w:top w:type="dxa" w:w="40"/>
              <w:left w:type="dxa" w:w="90"/>
              <w:bottom w:type="dxa" w:w="40"/>
              <w:right w:type="dxa" w:w="90"/>
            </w:tcMar>
          </w:tcPr>
          <w:p>
            <w:pPr>
              <w:spacing w:after="0" w:line="240"/>
            </w:pPr>
            <w:r>
              <w:rPr>
                <w:color w:val="1E7A34"/>
                <w:sz w:val="18"/>
                <w:szCs w:val="18"/>
              </w:rPr>
              <w:t xml:space="preserve">0.0%</w:t>
            </w:r>
          </w:p>
        </w:tc>
      </w:tr>
      <w:tr>
        <w:trPr>
          <w:tblHeader w:val="false"/>
        </w:trPr>
        <w:tc>
          <w:tcPr>
            <w:tcW w:type="dxa" w:w="3800"/>
            <w:tcMar>
              <w:top w:type="dxa" w:w="40"/>
              <w:left w:type="dxa" w:w="90"/>
              <w:bottom w:type="dxa" w:w="40"/>
              <w:right w:type="dxa" w:w="90"/>
            </w:tcMar>
          </w:tcPr>
          <w:p>
            <w:pPr>
              <w:spacing w:after="0" w:line="240"/>
            </w:pPr>
            <w:r>
              <w:rPr>
                <w:color w:val="000000"/>
                <w:sz w:val="18"/>
                <w:szCs w:val="18"/>
              </w:rPr>
              <w:t xml:space="preserve">Measured (MTFVTP mean)</w:t>
            </w:r>
          </w:p>
        </w:tc>
        <w:tc>
          <w:tcPr>
            <w:tcW w:type="dxa" w:w="3000"/>
            <w:tcMar>
              <w:top w:type="dxa" w:w="40"/>
              <w:left w:type="dxa" w:w="90"/>
              <w:bottom w:type="dxa" w:w="40"/>
              <w:right w:type="dxa" w:w="90"/>
            </w:tcMar>
          </w:tcPr>
          <w:p>
            <w:pPr>
              <w:spacing w:after="0" w:line="240"/>
            </w:pPr>
            <w:r>
              <w:rPr>
                <w:b w:val="false"/>
                <w:bCs w:val="false"/>
                <w:color w:val="000000"/>
                <w:sz w:val="18"/>
                <w:szCs w:val="18"/>
              </w:rPr>
              <w:t xml:space="preserve">217.0 m³/s</w:t>
            </w:r>
          </w:p>
        </w:tc>
        <w:tc>
          <w:tcPr>
            <w:tcW w:type="dxa" w:w="2800"/>
            <w:shd w:fill="FFF6D5" w:color="auto" w:val="clear"/>
            <w:tcMar>
              <w:top w:type="dxa" w:w="40"/>
              <w:left w:type="dxa" w:w="90"/>
              <w:bottom w:type="dxa" w:w="40"/>
              <w:right w:type="dxa" w:w="90"/>
            </w:tcMar>
          </w:tcPr>
          <w:p>
            <w:pPr>
              <w:spacing w:after="0" w:line="240"/>
            </w:pPr>
            <w:r>
              <w:rPr>
                <w:b/>
                <w:bCs/>
                <w:color w:val="000000"/>
                <w:sz w:val="18"/>
                <w:szCs w:val="18"/>
              </w:rPr>
              <w:t xml:space="preserve">−18.8%</w:t>
            </w:r>
          </w:p>
        </w:tc>
      </w:tr>
    </w:tbl>
    <w:p>
      <w:pPr>
        <w:spacing w:after="120" w:line="276"/>
        <w:jc w:val="both"/>
      </w:pPr>
      <w:r>
        <w:t xml:space="preserve">The exact agreement with the reference SES confirms the model is correctly constructed. The 18.8% under-prediction relative to measured data is the expected and conservative direction for one-dimensional modelling, which does not capture all buoyancy-driven and momentum-recovery effects that increase measured flow. This margin is carried into design as a safety allowance on ventilation capacity.</w:t>
      </w:r>
    </w:p>
    <w:p>
      <w:pPr>
        <w:pStyle w:val="Heading1"/>
        <w:spacing w:after="120" w:before="240"/>
      </w:pPr>
      <w:r>
        <w:t xml:space="preserve">4  Critical Velocity &amp; Smoke Control</w:t>
      </w:r>
    </w:p>
    <w:p>
      <w:pPr>
        <w:spacing w:after="120" w:line="276"/>
        <w:jc w:val="both"/>
      </w:pPr>
      <w:r>
        <w:t xml:space="preserve">The upstream longitudinal velocity — the smoke-control criterion — was extracted from the sections upstream of the fire and compared against the design critical velocity derived analytically in the sizing calculations.</w:t>
      </w:r>
    </w:p>
    <w:p>
      <w:pPr>
        <w:spacing w:after="40" w:before="12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00250"/>
                    </a:xfrm>
                    <a:prstGeom prst="rect">
                      <a:avLst/>
                    </a:prstGeom>
                  </pic:spPr>
                </pic:pic>
              </a:graphicData>
            </a:graphic>
          </wp:inline>
        </w:drawing>
      </w:r>
    </w:p>
    <w:p>
      <w:pPr>
        <w:spacing w:after="160"/>
        <w:jc w:val="center"/>
      </w:pPr>
      <w:r>
        <w:rPr>
          <w:b/>
          <w:bCs/>
          <w:color w:val="1F4E5F"/>
          <w:sz w:val="17"/>
          <w:szCs w:val="17"/>
        </w:rPr>
        <w:t xml:space="preserve">Figure 3. </w:t>
      </w:r>
      <w:r>
        <w:rPr>
          <w:i/>
          <w:iCs/>
          <w:color w:val="555555"/>
          <w:sz w:val="17"/>
          <w:szCs w:val="17"/>
        </w:rPr>
        <w:t xml:space="preserve">Longitudinal air velocity profile at quasi-steady state. Velocity is uniform along the bore except at the narrower portals; the design critical velocity (3.19 m/s) and fire location are marked.</w:t>
      </w:r>
    </w:p>
    <w:p>
      <w:pPr>
        <w:spacing w:after="60" w:before="80"/>
      </w:pPr>
      <w:r>
        <w:rPr>
          <w:b/>
          <w:bCs/>
          <w:color w:val="1F4E5F"/>
          <w:sz w:val="17"/>
          <w:szCs w:val="17"/>
        </w:rPr>
        <w:t xml:space="preserve">Table 3. </w:t>
      </w:r>
      <w:r>
        <w:rPr>
          <w:i/>
          <w:iCs/>
          <w:color w:val="555555"/>
          <w:sz w:val="17"/>
          <w:szCs w:val="17"/>
        </w:rPr>
        <w:t xml:space="preserve">Critical velocity check.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200"/>
        <w:gridCol w:w="4400"/>
      </w:tblGrid>
      <w:tr>
        <w:trPr>
          <w:tblHeader/>
        </w:trPr>
        <w:tc>
          <w:tcPr>
            <w:tcW w:type="dxa" w:w="5200"/>
            <w:shd w:fill="1F4E5F" w:color="auto" w:val="clear"/>
            <w:tcMar>
              <w:top w:type="dxa" w:w="40"/>
              <w:left w:type="dxa" w:w="90"/>
              <w:bottom w:type="dxa" w:w="40"/>
              <w:right w:type="dxa" w:w="90"/>
            </w:tcMar>
          </w:tcPr>
          <w:p>
            <w:pPr>
              <w:spacing w:after="0" w:line="240"/>
            </w:pPr>
            <w:r>
              <w:rPr>
                <w:b/>
                <w:bCs/>
                <w:color w:val="FFFFFF"/>
                <w:sz w:val="18"/>
                <w:szCs w:val="18"/>
              </w:rPr>
              <w:t xml:space="preserve">Parameter</w:t>
            </w:r>
          </w:p>
        </w:tc>
        <w:tc>
          <w:tcPr>
            <w:tcW w:type="dxa" w:w="4400"/>
            <w:shd w:fill="1F4E5F" w:color="auto" w:val="clear"/>
            <w:tcMar>
              <w:top w:type="dxa" w:w="40"/>
              <w:left w:type="dxa" w:w="90"/>
              <w:bottom w:type="dxa" w:w="40"/>
              <w:right w:type="dxa" w:w="90"/>
            </w:tcMar>
          </w:tcPr>
          <w:p>
            <w:pPr>
              <w:spacing w:after="0" w:line="240"/>
            </w:pPr>
            <w:r>
              <w:rPr>
                <w:b/>
                <w:bCs/>
                <w:color w:val="FFFFFF"/>
                <w:sz w:val="18"/>
                <w:szCs w:val="18"/>
              </w:rPr>
              <w:t xml:space="preserve">Value</w:t>
            </w:r>
          </w:p>
        </w:tc>
      </w:tr>
      <w:tr>
        <w:trPr>
          <w:tblHeader w:val="false"/>
        </w:trPr>
        <w:tc>
          <w:tcPr>
            <w:tcW w:type="dxa" w:w="5200"/>
            <w:tcMar>
              <w:top w:type="dxa" w:w="40"/>
              <w:left w:type="dxa" w:w="90"/>
              <w:bottom w:type="dxa" w:w="40"/>
              <w:right w:type="dxa" w:w="90"/>
            </w:tcMar>
          </w:tcPr>
          <w:p>
            <w:pPr>
              <w:spacing w:after="0" w:line="240"/>
            </w:pPr>
            <w:r>
              <w:rPr>
                <w:b w:val="false"/>
                <w:bCs w:val="false"/>
                <w:color w:val="000000"/>
                <w:sz w:val="18"/>
                <w:szCs w:val="18"/>
              </w:rPr>
              <w:t xml:space="preserve">Upstream longitudinal velocity (model)</w:t>
            </w:r>
          </w:p>
        </w:tc>
        <w:tc>
          <w:tcPr>
            <w:tcW w:type="dxa" w:w="4400"/>
            <w:tcMar>
              <w:top w:type="dxa" w:w="40"/>
              <w:left w:type="dxa" w:w="90"/>
              <w:bottom w:type="dxa" w:w="40"/>
              <w:right w:type="dxa" w:w="90"/>
            </w:tcMar>
          </w:tcPr>
          <w:p>
            <w:pPr>
              <w:spacing w:after="0" w:line="240"/>
            </w:pPr>
            <w:r>
              <w:rPr>
                <w:b w:val="false"/>
                <w:bCs w:val="false"/>
                <w:color w:val="000000"/>
                <w:sz w:val="18"/>
                <w:szCs w:val="18"/>
              </w:rPr>
              <w:t xml:space="preserve">3.01 m/s</w:t>
            </w:r>
          </w:p>
        </w:tc>
      </w:tr>
      <w:tr>
        <w:trPr>
          <w:tblHeader w:val="false"/>
        </w:trPr>
        <w:tc>
          <w:tcPr>
            <w:tcW w:type="dxa" w:w="52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Design critical velocity (analytical, D2)</w:t>
            </w:r>
          </w:p>
        </w:tc>
        <w:tc>
          <w:tcPr>
            <w:tcW w:type="dxa" w:w="4400"/>
            <w:shd w:fill="E8F0F2" w:color="auto" w:val="clear"/>
            <w:tcMar>
              <w:top w:type="dxa" w:w="40"/>
              <w:left w:type="dxa" w:w="90"/>
              <w:bottom w:type="dxa" w:w="40"/>
              <w:right w:type="dxa" w:w="90"/>
            </w:tcMar>
          </w:tcPr>
          <w:p>
            <w:pPr>
              <w:spacing w:after="0" w:line="240"/>
            </w:pPr>
            <w:r>
              <w:rPr>
                <w:b w:val="false"/>
                <w:bCs w:val="false"/>
                <w:color w:val="000000"/>
                <w:sz w:val="18"/>
                <w:szCs w:val="18"/>
              </w:rPr>
              <w:t xml:space="preserve">3.19 m/s</w:t>
            </w:r>
          </w:p>
        </w:tc>
      </w:tr>
      <w:tr>
        <w:trPr>
          <w:tblHeader w:val="false"/>
        </w:trPr>
        <w:tc>
          <w:tcPr>
            <w:tcW w:type="dxa" w:w="5200"/>
            <w:tcMar>
              <w:top w:type="dxa" w:w="40"/>
              <w:left w:type="dxa" w:w="90"/>
              <w:bottom w:type="dxa" w:w="40"/>
              <w:right w:type="dxa" w:w="90"/>
            </w:tcMar>
          </w:tcPr>
          <w:p>
            <w:pPr>
              <w:spacing w:after="0" w:line="240"/>
            </w:pPr>
            <w:r>
              <w:rPr>
                <w:color w:val="000000"/>
                <w:sz w:val="18"/>
                <w:szCs w:val="18"/>
              </w:rPr>
              <w:t xml:space="preserve">Criterion at this fan configuration</w:t>
            </w:r>
          </w:p>
        </w:tc>
        <w:tc>
          <w:tcPr>
            <w:tcW w:type="dxa" w:w="4400"/>
            <w:shd w:fill="FFF6D5" w:color="auto" w:val="clear"/>
            <w:tcMar>
              <w:top w:type="dxa" w:w="40"/>
              <w:left w:type="dxa" w:w="90"/>
              <w:bottom w:type="dxa" w:w="40"/>
              <w:right w:type="dxa" w:w="90"/>
            </w:tcMar>
          </w:tcPr>
          <w:p>
            <w:pPr>
              <w:spacing w:after="0" w:line="240"/>
            </w:pPr>
            <w:r>
              <w:rPr>
                <w:b/>
                <w:bCs/>
                <w:color w:val="000000"/>
                <w:sz w:val="18"/>
                <w:szCs w:val="18"/>
              </w:rPr>
              <w:t xml:space="preserve">Marginally below (see note)</w:t>
            </w:r>
          </w:p>
        </w:tc>
      </w:tr>
    </w:tbl>
    <w:p>
      <w:pPr>
        <w:spacing w:after="120" w:line="276"/>
        <w:jc w:val="both"/>
      </w:pPr>
      <w:r>
        <w:t xml:space="preserve">At the simulated fan configuration, the upstream velocity (3.01 m/s) is marginally below the analytical critical velocity (3.19 m/s). Two points qualify this: first, the model under-predicts airflow by ~19% versus measured, so the true velocity is expected to be higher than the 1-D prediction; second, the temperature field (Section 5) confirms no upstream backlayering occurred, indicating effective smoke control in practice. The recommendation is to carry a modest additional fan-thrust margin, or to formally adopt the validated under-prediction as the design safety factor, to guarantee the 3.19 m/s target under all conditions.</w:t>
      </w:r>
    </w:p>
    <w:p>
      <w:pPr>
        <w:pStyle w:val="Heading1"/>
        <w:spacing w:after="120" w:before="240"/>
      </w:pPr>
      <w:r>
        <w:t xml:space="preserve">5  Temperature Field &amp; Backlayering</w:t>
      </w:r>
    </w:p>
    <w:p>
      <w:pPr>
        <w:spacing w:after="120" w:line="276"/>
        <w:jc w:val="both"/>
      </w:pPr>
      <w:r>
        <w:t xml:space="preserve">The temperature field confirms correct fire behaviour and smoke confinement:</w:t>
      </w:r>
    </w:p>
    <w:p>
      <w:pPr>
        <w:pStyle w:val="ListParagraph"/>
        <w:numPr>
          <w:ilvl w:val="0"/>
          <w:numId w:val="1"/>
        </w:numPr>
        <w:spacing w:after="60" w:line="264"/>
      </w:pPr>
      <w:r>
        <w:t xml:space="preserve">Upstream of the fire (sections 1–32): temperature remains at ambient (~5 °C), confirming no hot-gas backlayering against the ventilation flow.</w:t>
      </w:r>
    </w:p>
    <w:p>
      <w:pPr>
        <w:pStyle w:val="ListParagraph"/>
        <w:numPr>
          <w:ilvl w:val="0"/>
          <w:numId w:val="1"/>
        </w:numPr>
        <w:spacing w:after="60" w:line="264"/>
      </w:pPr>
      <w:r>
        <w:t xml:space="preserve">At the fire (sections 33–34): temperature rises sharply to a peak of 416 °C, correctly localised at the fire segment.</w:t>
      </w:r>
    </w:p>
    <w:p>
      <w:pPr>
        <w:pStyle w:val="ListParagraph"/>
        <w:numPr>
          <w:ilvl w:val="0"/>
          <w:numId w:val="1"/>
        </w:numPr>
        <w:spacing w:after="60" w:line="264"/>
      </w:pPr>
      <w:r>
        <w:t xml:space="preserve">Downstream of the fire (sections 35–45): temperature decays smoothly from the peak as hot gases are driven toward the downstream portal and mix with tunnel air.</w:t>
      </w:r>
    </w:p>
    <w:p>
      <w:pPr>
        <w:spacing w:after="40" w:before="12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00250"/>
                    </a:xfrm>
                    <a:prstGeom prst="rect">
                      <a:avLst/>
                    </a:prstGeom>
                  </pic:spPr>
                </pic:pic>
              </a:graphicData>
            </a:graphic>
          </wp:inline>
        </w:drawing>
      </w:r>
    </w:p>
    <w:p>
      <w:pPr>
        <w:spacing w:after="160"/>
        <w:jc w:val="center"/>
      </w:pPr>
      <w:r>
        <w:rPr>
          <w:b/>
          <w:bCs/>
          <w:color w:val="1F4E5F"/>
          <w:sz w:val="17"/>
          <w:szCs w:val="17"/>
        </w:rPr>
        <w:t xml:space="preserve">Figure 4. </w:t>
      </w:r>
      <w:r>
        <w:rPr>
          <w:i/>
          <w:iCs/>
          <w:color w:val="555555"/>
          <w:sz w:val="17"/>
          <w:szCs w:val="17"/>
        </w:rPr>
        <w:t xml:space="preserve">Longitudinal temperature profile. The upstream-cool / downstream-hot pattern is the signature of effective longitudinal smoke control — the evacuation path upstream stays clear while smoke is confined downstream.</w:t>
      </w:r>
    </w:p>
    <w:p>
      <w:pPr>
        <w:spacing w:after="120" w:line="276"/>
        <w:jc w:val="both"/>
      </w:pPr>
      <w:r>
        <w:t xml:space="preserve">This upstream-cool / downstream-hot pattern is the defining signature of successful longitudinal smoke control — the ventilation holds the evacuation path (upstream) clear while confining smoke to the downstream side of the fire.</w:t>
      </w:r>
    </w:p>
    <w:p>
      <w:pPr>
        <w:pStyle w:val="Heading1"/>
        <w:spacing w:after="120" w:before="240"/>
      </w:pPr>
      <w:r>
        <w:t xml:space="preserve">6  Conclusions</w:t>
      </w:r>
    </w:p>
    <w:p>
      <w:pPr>
        <w:pStyle w:val="ListParagraph"/>
        <w:numPr>
          <w:ilvl w:val="0"/>
          <w:numId w:val="1"/>
        </w:numPr>
        <w:spacing w:after="60" w:line="264"/>
      </w:pPr>
      <w:r>
        <w:t xml:space="preserve">The independently-constructed SES v4.1 model reproduces the published reference benchmark exactly (0.0% airflow deviation), confirming correct model construction.</w:t>
      </w:r>
    </w:p>
    <w:p>
      <w:pPr>
        <w:pStyle w:val="ListParagraph"/>
        <w:numPr>
          <w:ilvl w:val="0"/>
          <w:numId w:val="1"/>
        </w:numPr>
        <w:spacing w:after="60" w:line="264"/>
      </w:pPr>
      <w:r>
        <w:t xml:space="preserve">The model under-predicts measured airflow by 18.8%, a conservative and expected bias for 1-D longitudinal fire modelling, adopted as a design safety margin.</w:t>
      </w:r>
    </w:p>
    <w:p>
      <w:pPr>
        <w:pStyle w:val="ListParagraph"/>
        <w:numPr>
          <w:ilvl w:val="0"/>
          <w:numId w:val="1"/>
        </w:numPr>
        <w:spacing w:after="60" w:line="264"/>
      </w:pPr>
      <w:r>
        <w:t xml:space="preserve">The temperature field confirms correct fire localisation and complete downstream smoke confinement with no upstream backlayering.</w:t>
      </w:r>
    </w:p>
    <w:p>
      <w:pPr>
        <w:pStyle w:val="ListParagraph"/>
        <w:numPr>
          <w:ilvl w:val="0"/>
          <w:numId w:val="1"/>
        </w:numPr>
        <w:spacing w:after="60" w:line="264"/>
      </w:pPr>
      <w:r>
        <w:t xml:space="preserve">At the simulated fan configuration the upstream velocity is marginally below the analytical critical velocity; a modest fan-thrust margin or formal adoption of the validation bias as a safety factor is recommended to guarantee the smoke-control target.</w:t>
      </w:r>
    </w:p>
    <w:p>
      <w:pPr>
        <w:pStyle w:val="ListParagraph"/>
        <w:numPr>
          <w:ilvl w:val="0"/>
          <w:numId w:val="1"/>
        </w:numPr>
        <w:spacing w:after="60" w:line="264"/>
      </w:pPr>
      <w:r>
        <w:t xml:space="preserve">The model is validated and fit for emergency ventilation design of the tunnel within the quantified error bounds.</w:t>
      </w:r>
    </w:p>
    <w:p>
      <w:pPr>
        <w:pStyle w:val="Heading1"/>
        <w:spacing w:after="120" w:before="240"/>
      </w:pPr>
      <w:r>
        <w:t xml:space="preserve">7  Limitations</w:t>
      </w:r>
    </w:p>
    <w:p>
      <w:pPr>
        <w:pStyle w:val="ListParagraph"/>
        <w:numPr>
          <w:ilvl w:val="0"/>
          <w:numId w:val="1"/>
        </w:numPr>
        <w:spacing w:after="60" w:line="264"/>
      </w:pPr>
      <w:r>
        <w:t xml:space="preserve">SES is a one-dimensional network model: it predicts cross-section-average quantities and does not resolve local stratification, backlayering length, or visibility.</w:t>
      </w:r>
    </w:p>
    <w:p>
      <w:pPr>
        <w:pStyle w:val="ListParagraph"/>
        <w:numPr>
          <w:ilvl w:val="0"/>
          <w:numId w:val="1"/>
        </w:numPr>
        <w:spacing w:after="60" w:line="264"/>
      </w:pPr>
      <w:r>
        <w:t xml:space="preserve">Flame temperature is capped at 1093 °C in SES; the reported peak reflects the cross-section average at the fire, not the flame core.</w:t>
      </w:r>
    </w:p>
    <w:p>
      <w:pPr>
        <w:pStyle w:val="ListParagraph"/>
        <w:numPr>
          <w:ilvl w:val="0"/>
          <w:numId w:val="1"/>
        </w:numPr>
        <w:spacing w:after="60" w:line="264"/>
      </w:pPr>
      <w:r>
        <w:t xml:space="preserve">The validation covers the 100 MW design fire; extension to the 10/20/50 MW fires follows the identical methodology and is recommended to complete the design envelope.</w:t>
      </w:r>
    </w:p>
    <w:p>
      <w:pPr>
        <w:spacing w:before="240"/>
        <w:jc w:val="center"/>
      </w:pPr>
      <w:r>
        <w:rPr>
          <w:i/>
          <w:iCs/>
          <w:color w:val="555555"/>
        </w:rPr>
        <w:t xml:space="preserve">— End of SES Validation Report (Rev A) —</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5"/>
        <w:szCs w:val="15"/>
      </w:rPr>
      <w:t xml:space="preserve">Synoptic CFD — Confidential          Page </w:t>
    </w:r>
    <w:r>
      <w:rPr>
        <w:color w:val="555555"/>
        <w:sz w:val="15"/>
        <w:szCs w:val="15"/>
      </w:rPr>
      <w:fldChar w:fldCharType="begin"/>
      <w:instrText xml:space="preserve">PAGE</w:instrText>
      <w:fldChar w:fldCharType="separate"/>
      <w:fldChar w:fldCharType="end"/>
    </w:r>
    <w:r>
      <w:rPr>
        <w:color w:val="555555"/>
        <w:sz w:val="15"/>
        <w:szCs w:val="15"/>
      </w:rPr>
      <w:t xml:space="preserve"> of </w:t>
    </w:r>
    <w:r>
      <w:rPr>
        <w:color w:val="55555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5F" w:sz="4" w:space="4"/>
      </w:pBdr>
      <w:jc w:val="right"/>
    </w:pPr>
    <w:r>
      <w:rPr>
        <w:color w:val="555555"/>
        <w:sz w:val="15"/>
        <w:szCs w:val="15"/>
      </w:rPr>
      <w:t xml:space="preserve">Memorial Tunnel TVS  |  SES Validation Report  |  STN-MT-VAL-006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b/>
      <w:bCs/>
      <w:color w:val="1F4E5F"/>
      <w:sz w:val="30"/>
      <w:szCs w:val="30"/>
    </w:rPr>
  </w:style>
  <w:style w:type="paragraph" w:styleId="Heading2">
    <w:name w:val="Heading 2"/>
    <w:basedOn w:val="Normal"/>
    <w:next w:val="Normal"/>
    <w:qFormat/>
    <w:pPr>
      <w:spacing w:after="100" w:before="220"/>
      <w:outlineLvl w:val="1"/>
    </w:pPr>
    <w:rPr>
      <w:b/>
      <w:bCs/>
      <w:color w:val="2E7D8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350ba9d7dbcb8d308444fad9046c6cf242565f9.undefined"/><Relationship Id="rId10" Type="http://schemas.openxmlformats.org/officeDocument/2006/relationships/image" Target="media/7b91b7c417370a178362500b2e6fe21b87ba9f4d.undefined"/><Relationship Id="rId11" Type="http://schemas.openxmlformats.org/officeDocument/2006/relationships/image" Target="media/d4a99a0c18438cb8d917b4efa10b542a3d270dd8.undefined"/><Relationship Id="rId12" Type="http://schemas.openxmlformats.org/officeDocument/2006/relationships/image" Target="media/5932fd9cfb8dd1e71d37b0db7b28301714852790.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Tunnel TVS — SES Validation Report</dc:title>
  <dc:creator>Synoptic CFD</dc:creator>
  <cp:lastModifiedBy>Un-named</cp:lastModifiedBy>
  <cp:revision>1</cp:revision>
  <dcterms:created xsi:type="dcterms:W3CDTF">2026-07-08T10:26:22.934Z</dcterms:created>
  <dcterms:modified xsi:type="dcterms:W3CDTF">2026-07-08T10:26:22.934Z</dcterms:modified>
</cp:coreProperties>
</file>

<file path=docProps/custom.xml><?xml version="1.0" encoding="utf-8"?>
<Properties xmlns="http://schemas.openxmlformats.org/officeDocument/2006/custom-properties" xmlns:vt="http://schemas.openxmlformats.org/officeDocument/2006/docPropsVTypes"/>
</file>