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15"/>
        </w:rPr>
        <w:t>Table 2. Classification accuracy by panel. A class call distinguishes Class I from Class II from not-a-transposable-element; an order call names LTR, LINE or TIR; a superfamily call names Copia, Gypsy, hAT, Tc1/Mariner, CACTA, MULE or piggyBac. Abstentions are counted in their own column, not scored as errors, so accuracy and abstention must be read together; naming the order while withholding the superfamily beneath it, as TEagle does on every LINE, is an abstention at superfamily rank. Combined primary figures use distinct analysed input hashes; panel rows and the explicitly labelled sensitivity row use curated case rows. Intervals are Wilson 95%. 36 cases lie outside the superfamily denominator: 16 carry no superfamily label in the corpus, and 20 are endogenous retroviruses, whose Wicker superfamily (Retrovirus / ERV) has no token in this classifier's output vocabulary — it calls them Gypsy (Ty3), the superfamily whose pol order they share, so neither verdict would measure its discrimination. Had those cases been graded incorrect instead, superfamily accuracy would be 0.674 on 46 answered. The 2 superfamily errors are inversions in both directions: X59545 (Drosophila melanogaster), labelled Copia (Ty1), called Gypsy (Ty3); AF104899 (Gadus morhua), labelled Gypsy (Ty3), called Copia (Ty1). Negative controls: 11 of 11 correctly returned no call. 34 cases were stratified out of these figures because the deposit carries the element among other sequence and no coordinate narrowed the analysed input (LTR divergence gradient 23, LTR retrotransposons (Copia / Gypsy) 6, Unreadable domain order 3, LINEs (non-LTR retrotransposons) 1, Assay design 1); they are reported as their own stratum. The supplied corpus-scope description gives the rule and counts.</w:t>
      </w:r>
    </w:p>
    <w:tbl>
      <w:tblPr>
        <w:tblStyle w:val="TableGrid"/>
        <w:tblW w:type="auto" w:w="0"/>
        <w:tblLook w:firstColumn="1" w:firstRow="1" w:lastColumn="0" w:lastRow="0" w:noHBand="0" w:noVBand="1" w:val="04A0"/>
      </w:tblPr>
      <w:tblGrid>
        <w:gridCol w:w="1062"/>
        <w:gridCol w:w="1062"/>
        <w:gridCol w:w="1062"/>
        <w:gridCol w:w="1062"/>
        <w:gridCol w:w="1062"/>
        <w:gridCol w:w="1062"/>
        <w:gridCol w:w="1062"/>
        <w:gridCol w:w="1062"/>
        <w:gridCol w:w="1062"/>
        <w:gridCol w:w="1062"/>
        <w:gridCol w:w="1062"/>
        <w:gridCol w:w="1062"/>
        <w:gridCol w:w="1062"/>
        <w:gridCol w:w="1062"/>
        <w:gridCol w:w="1062"/>
      </w:tblGrid>
      <w:tr>
        <w:tc>
          <w:tcPr>
            <w:tcW w:type="dxa" w:w="1062"/>
          </w:tcPr>
          <w:p>
            <w:r>
              <w:rPr>
                <w:rFonts w:ascii="Times New Roman" w:hAnsi="Times New Roman"/>
                <w:b/>
                <w:sz w:val="13"/>
              </w:rPr>
              <w:t>Panel</w:t>
            </w:r>
          </w:p>
        </w:tc>
        <w:tc>
          <w:tcPr>
            <w:tcW w:type="dxa" w:w="1062"/>
          </w:tcPr>
          <w:p>
            <w:r>
              <w:rPr>
                <w:rFonts w:ascii="Times New Roman" w:hAnsi="Times New Roman"/>
                <w:b/>
                <w:sz w:val="13"/>
              </w:rPr>
              <w:t>Unit</w:t>
            </w:r>
          </w:p>
        </w:tc>
        <w:tc>
          <w:tcPr>
            <w:tcW w:type="dxa" w:w="1062"/>
          </w:tcPr>
          <w:p>
            <w:r>
              <w:rPr>
                <w:rFonts w:ascii="Times New Roman" w:hAnsi="Times New Roman"/>
                <w:b/>
                <w:sz w:val="13"/>
              </w:rPr>
              <w:t>n</w:t>
            </w:r>
          </w:p>
        </w:tc>
        <w:tc>
          <w:tcPr>
            <w:tcW w:type="dxa" w:w="1062"/>
          </w:tcPr>
          <w:p>
            <w:r>
              <w:rPr>
                <w:rFonts w:ascii="Times New Roman" w:hAnsi="Times New Roman"/>
                <w:b/>
                <w:sz w:val="13"/>
              </w:rPr>
              <w:t>Class: answered/gradable</w:t>
            </w:r>
          </w:p>
        </w:tc>
        <w:tc>
          <w:tcPr>
            <w:tcW w:type="dxa" w:w="1062"/>
          </w:tcPr>
          <w:p>
            <w:r>
              <w:rPr>
                <w:rFonts w:ascii="Times New Roman" w:hAnsi="Times New Roman"/>
                <w:b/>
                <w:sz w:val="13"/>
              </w:rPr>
              <w:t>Class accuracy</w:t>
            </w:r>
          </w:p>
        </w:tc>
        <w:tc>
          <w:tcPr>
            <w:tcW w:type="dxa" w:w="1062"/>
          </w:tcPr>
          <w:p>
            <w:r>
              <w:rPr>
                <w:rFonts w:ascii="Times New Roman" w:hAnsi="Times New Roman"/>
                <w:b/>
                <w:sz w:val="13"/>
              </w:rPr>
              <w:t>Class 95% CI</w:t>
            </w:r>
          </w:p>
        </w:tc>
        <w:tc>
          <w:tcPr>
            <w:tcW w:type="dxa" w:w="1062"/>
          </w:tcPr>
          <w:p>
            <w:r>
              <w:rPr>
                <w:rFonts w:ascii="Times New Roman" w:hAnsi="Times New Roman"/>
                <w:b/>
                <w:sz w:val="13"/>
              </w:rPr>
              <w:t>Class abstention</w:t>
            </w:r>
          </w:p>
        </w:tc>
        <w:tc>
          <w:tcPr>
            <w:tcW w:type="dxa" w:w="1062"/>
          </w:tcPr>
          <w:p>
            <w:r>
              <w:rPr>
                <w:rFonts w:ascii="Times New Roman" w:hAnsi="Times New Roman"/>
                <w:b/>
                <w:sz w:val="13"/>
              </w:rPr>
              <w:t>Order: answered/gradable</w:t>
            </w:r>
          </w:p>
        </w:tc>
        <w:tc>
          <w:tcPr>
            <w:tcW w:type="dxa" w:w="1062"/>
          </w:tcPr>
          <w:p>
            <w:r>
              <w:rPr>
                <w:rFonts w:ascii="Times New Roman" w:hAnsi="Times New Roman"/>
                <w:b/>
                <w:sz w:val="13"/>
              </w:rPr>
              <w:t>Order accuracy</w:t>
            </w:r>
          </w:p>
        </w:tc>
        <w:tc>
          <w:tcPr>
            <w:tcW w:type="dxa" w:w="1062"/>
          </w:tcPr>
          <w:p>
            <w:r>
              <w:rPr>
                <w:rFonts w:ascii="Times New Roman" w:hAnsi="Times New Roman"/>
                <w:b/>
                <w:sz w:val="13"/>
              </w:rPr>
              <w:t>Order 95% CI</w:t>
            </w:r>
          </w:p>
        </w:tc>
        <w:tc>
          <w:tcPr>
            <w:tcW w:type="dxa" w:w="1062"/>
          </w:tcPr>
          <w:p>
            <w:r>
              <w:rPr>
                <w:rFonts w:ascii="Times New Roman" w:hAnsi="Times New Roman"/>
                <w:b/>
                <w:sz w:val="13"/>
              </w:rPr>
              <w:t>Order abstention</w:t>
            </w:r>
          </w:p>
        </w:tc>
        <w:tc>
          <w:tcPr>
            <w:tcW w:type="dxa" w:w="1062"/>
          </w:tcPr>
          <w:p>
            <w:r>
              <w:rPr>
                <w:rFonts w:ascii="Times New Roman" w:hAnsi="Times New Roman"/>
                <w:b/>
                <w:sz w:val="13"/>
              </w:rPr>
              <w:t>Superfamily: answered/gradable</w:t>
            </w:r>
          </w:p>
        </w:tc>
        <w:tc>
          <w:tcPr>
            <w:tcW w:type="dxa" w:w="1062"/>
          </w:tcPr>
          <w:p>
            <w:r>
              <w:rPr>
                <w:rFonts w:ascii="Times New Roman" w:hAnsi="Times New Roman"/>
                <w:b/>
                <w:sz w:val="13"/>
              </w:rPr>
              <w:t>Superfamily accuracy</w:t>
            </w:r>
          </w:p>
        </w:tc>
        <w:tc>
          <w:tcPr>
            <w:tcW w:type="dxa" w:w="1062"/>
          </w:tcPr>
          <w:p>
            <w:r>
              <w:rPr>
                <w:rFonts w:ascii="Times New Roman" w:hAnsi="Times New Roman"/>
                <w:b/>
                <w:sz w:val="13"/>
              </w:rPr>
              <w:t>Superfamily 95% CI</w:t>
            </w:r>
          </w:p>
        </w:tc>
        <w:tc>
          <w:tcPr>
            <w:tcW w:type="dxa" w:w="1062"/>
          </w:tcPr>
          <w:p>
            <w:r>
              <w:rPr>
                <w:rFonts w:ascii="Times New Roman" w:hAnsi="Times New Roman"/>
                <w:b/>
                <w:sz w:val="13"/>
              </w:rPr>
              <w:t>Superfamily abstention</w:t>
            </w:r>
          </w:p>
        </w:tc>
      </w:tr>
      <w:tr>
        <w:tc>
          <w:tcPr>
            <w:tcW w:type="dxa" w:w="1062"/>
          </w:tcPr>
          <w:p>
            <w:r>
              <w:rPr>
                <w:rFonts w:ascii="Times New Roman" w:hAnsi="Times New Roman"/>
                <w:sz w:val="12"/>
              </w:rPr>
              <w:t>LTR retrotransposons (Copia / Gypsy)</w:t>
            </w:r>
          </w:p>
        </w:tc>
        <w:tc>
          <w:tcPr>
            <w:tcW w:type="dxa" w:w="1062"/>
          </w:tcPr>
          <w:p>
            <w:r>
              <w:rPr>
                <w:rFonts w:ascii="Times New Roman" w:hAnsi="Times New Roman"/>
                <w:sz w:val="12"/>
              </w:rPr>
              <w:t>curated case rows</w:t>
            </w:r>
          </w:p>
        </w:tc>
        <w:tc>
          <w:tcPr>
            <w:tcW w:type="dxa" w:w="1062"/>
          </w:tcPr>
          <w:p>
            <w:r>
              <w:rPr>
                <w:rFonts w:ascii="Times New Roman" w:hAnsi="Times New Roman"/>
                <w:sz w:val="12"/>
              </w:rPr>
              <w:t>35</w:t>
            </w:r>
          </w:p>
        </w:tc>
        <w:tc>
          <w:tcPr>
            <w:tcW w:type="dxa" w:w="1062"/>
          </w:tcPr>
          <w:p>
            <w:r>
              <w:rPr>
                <w:rFonts w:ascii="Times New Roman" w:hAnsi="Times New Roman"/>
                <w:sz w:val="12"/>
              </w:rPr>
              <w:t>33/35</w:t>
            </w:r>
          </w:p>
        </w:tc>
        <w:tc>
          <w:tcPr>
            <w:tcW w:type="dxa" w:w="1062"/>
          </w:tcPr>
          <w:p>
            <w:r>
              <w:rPr>
                <w:rFonts w:ascii="Times New Roman" w:hAnsi="Times New Roman"/>
                <w:sz w:val="12"/>
              </w:rPr>
              <w:t>1.000</w:t>
            </w:r>
          </w:p>
        </w:tc>
        <w:tc>
          <w:tcPr>
            <w:tcW w:type="dxa" w:w="1062"/>
          </w:tcPr>
          <w:p>
            <w:r>
              <w:rPr>
                <w:rFonts w:ascii="Times New Roman" w:hAnsi="Times New Roman"/>
                <w:sz w:val="12"/>
              </w:rPr>
              <w:t>0.896–1.000</w:t>
            </w:r>
          </w:p>
        </w:tc>
        <w:tc>
          <w:tcPr>
            <w:tcW w:type="dxa" w:w="1062"/>
          </w:tcPr>
          <w:p>
            <w:r>
              <w:rPr>
                <w:rFonts w:ascii="Times New Roman" w:hAnsi="Times New Roman"/>
                <w:sz w:val="12"/>
              </w:rPr>
              <w:t>0.057</w:t>
            </w:r>
          </w:p>
        </w:tc>
        <w:tc>
          <w:tcPr>
            <w:tcW w:type="dxa" w:w="1062"/>
          </w:tcPr>
          <w:p>
            <w:r>
              <w:rPr>
                <w:rFonts w:ascii="Times New Roman" w:hAnsi="Times New Roman"/>
                <w:sz w:val="12"/>
              </w:rPr>
              <w:t>33/35</w:t>
            </w:r>
          </w:p>
        </w:tc>
        <w:tc>
          <w:tcPr>
            <w:tcW w:type="dxa" w:w="1062"/>
          </w:tcPr>
          <w:p>
            <w:r>
              <w:rPr>
                <w:rFonts w:ascii="Times New Roman" w:hAnsi="Times New Roman"/>
                <w:sz w:val="12"/>
              </w:rPr>
              <w:t>1.000</w:t>
            </w:r>
          </w:p>
        </w:tc>
        <w:tc>
          <w:tcPr>
            <w:tcW w:type="dxa" w:w="1062"/>
          </w:tcPr>
          <w:p>
            <w:r>
              <w:rPr>
                <w:rFonts w:ascii="Times New Roman" w:hAnsi="Times New Roman"/>
                <w:sz w:val="12"/>
              </w:rPr>
              <w:t>0.896–1.000</w:t>
            </w:r>
          </w:p>
        </w:tc>
        <w:tc>
          <w:tcPr>
            <w:tcW w:type="dxa" w:w="1062"/>
          </w:tcPr>
          <w:p>
            <w:r>
              <w:rPr>
                <w:rFonts w:ascii="Times New Roman" w:hAnsi="Times New Roman"/>
                <w:sz w:val="12"/>
              </w:rPr>
              <w:t>0.057</w:t>
            </w:r>
          </w:p>
        </w:tc>
        <w:tc>
          <w:tcPr>
            <w:tcW w:type="dxa" w:w="1062"/>
          </w:tcPr>
          <w:p>
            <w:r>
              <w:rPr>
                <w:rFonts w:ascii="Times New Roman" w:hAnsi="Times New Roman"/>
                <w:sz w:val="12"/>
              </w:rPr>
              <w:t>22/35</w:t>
            </w:r>
          </w:p>
        </w:tc>
        <w:tc>
          <w:tcPr>
            <w:tcW w:type="dxa" w:w="1062"/>
          </w:tcPr>
          <w:p>
            <w:r>
              <w:rPr>
                <w:rFonts w:ascii="Times New Roman" w:hAnsi="Times New Roman"/>
                <w:sz w:val="12"/>
              </w:rPr>
              <w:t>0.909</w:t>
            </w:r>
          </w:p>
        </w:tc>
        <w:tc>
          <w:tcPr>
            <w:tcW w:type="dxa" w:w="1062"/>
          </w:tcPr>
          <w:p>
            <w:r>
              <w:rPr>
                <w:rFonts w:ascii="Times New Roman" w:hAnsi="Times New Roman"/>
                <w:sz w:val="12"/>
              </w:rPr>
              <w:t>0.722–0.975</w:t>
            </w:r>
          </w:p>
        </w:tc>
        <w:tc>
          <w:tcPr>
            <w:tcW w:type="dxa" w:w="1062"/>
          </w:tcPr>
          <w:p>
            <w:r>
              <w:rPr>
                <w:rFonts w:ascii="Times New Roman" w:hAnsi="Times New Roman"/>
                <w:sz w:val="12"/>
              </w:rPr>
              <w:t>0.371</w:t>
            </w:r>
          </w:p>
        </w:tc>
      </w:tr>
      <w:tr>
        <w:tc>
          <w:tcPr>
            <w:tcW w:type="dxa" w:w="1062"/>
          </w:tcPr>
          <w:p>
            <w:r>
              <w:rPr>
                <w:rFonts w:ascii="Times New Roman" w:hAnsi="Times New Roman"/>
                <w:sz w:val="12"/>
              </w:rPr>
              <w:t>Endogenous retroviruses</w:t>
            </w:r>
          </w:p>
        </w:tc>
        <w:tc>
          <w:tcPr>
            <w:tcW w:type="dxa" w:w="1062"/>
          </w:tcPr>
          <w:p>
            <w:r>
              <w:rPr>
                <w:rFonts w:ascii="Times New Roman" w:hAnsi="Times New Roman"/>
                <w:sz w:val="12"/>
              </w:rPr>
              <w:t>curated case rows</w:t>
            </w:r>
          </w:p>
        </w:tc>
        <w:tc>
          <w:tcPr>
            <w:tcW w:type="dxa" w:w="1062"/>
          </w:tcPr>
          <w:p>
            <w:r>
              <w:rPr>
                <w:rFonts w:ascii="Times New Roman" w:hAnsi="Times New Roman"/>
                <w:sz w:val="12"/>
              </w:rPr>
              <w:t>20</w:t>
            </w:r>
          </w:p>
        </w:tc>
        <w:tc>
          <w:tcPr>
            <w:tcW w:type="dxa" w:w="1062"/>
          </w:tcPr>
          <w:p>
            <w:r>
              <w:rPr>
                <w:rFonts w:ascii="Times New Roman" w:hAnsi="Times New Roman"/>
                <w:sz w:val="12"/>
              </w:rPr>
              <w:t>14/20</w:t>
            </w:r>
          </w:p>
        </w:tc>
        <w:tc>
          <w:tcPr>
            <w:tcW w:type="dxa" w:w="1062"/>
          </w:tcPr>
          <w:p>
            <w:r>
              <w:rPr>
                <w:rFonts w:ascii="Times New Roman" w:hAnsi="Times New Roman"/>
                <w:sz w:val="12"/>
              </w:rPr>
              <w:t>1.000</w:t>
            </w:r>
          </w:p>
        </w:tc>
        <w:tc>
          <w:tcPr>
            <w:tcW w:type="dxa" w:w="1062"/>
          </w:tcPr>
          <w:p>
            <w:r>
              <w:rPr>
                <w:rFonts w:ascii="Times New Roman" w:hAnsi="Times New Roman"/>
                <w:sz w:val="12"/>
              </w:rPr>
              <w:t>0.785–1.000</w:t>
            </w:r>
          </w:p>
        </w:tc>
        <w:tc>
          <w:tcPr>
            <w:tcW w:type="dxa" w:w="1062"/>
          </w:tcPr>
          <w:p>
            <w:r>
              <w:rPr>
                <w:rFonts w:ascii="Times New Roman" w:hAnsi="Times New Roman"/>
                <w:sz w:val="12"/>
              </w:rPr>
              <w:t>0.300</w:t>
            </w:r>
          </w:p>
        </w:tc>
        <w:tc>
          <w:tcPr>
            <w:tcW w:type="dxa" w:w="1062"/>
          </w:tcPr>
          <w:p>
            <w:r>
              <w:rPr>
                <w:rFonts w:ascii="Times New Roman" w:hAnsi="Times New Roman"/>
                <w:sz w:val="12"/>
              </w:rPr>
              <w:t>14/20</w:t>
            </w:r>
          </w:p>
        </w:tc>
        <w:tc>
          <w:tcPr>
            <w:tcW w:type="dxa" w:w="1062"/>
          </w:tcPr>
          <w:p>
            <w:r>
              <w:rPr>
                <w:rFonts w:ascii="Times New Roman" w:hAnsi="Times New Roman"/>
                <w:sz w:val="12"/>
              </w:rPr>
              <w:t>1.000</w:t>
            </w:r>
          </w:p>
        </w:tc>
        <w:tc>
          <w:tcPr>
            <w:tcW w:type="dxa" w:w="1062"/>
          </w:tcPr>
          <w:p>
            <w:r>
              <w:rPr>
                <w:rFonts w:ascii="Times New Roman" w:hAnsi="Times New Roman"/>
                <w:sz w:val="12"/>
              </w:rPr>
              <w:t>0.785–1.000</w:t>
            </w:r>
          </w:p>
        </w:tc>
        <w:tc>
          <w:tcPr>
            <w:tcW w:type="dxa" w:w="1062"/>
          </w:tcPr>
          <w:p>
            <w:r>
              <w:rPr>
                <w:rFonts w:ascii="Times New Roman" w:hAnsi="Times New Roman"/>
                <w:sz w:val="12"/>
              </w:rPr>
              <w:t>0.300</w:t>
            </w:r>
          </w:p>
        </w:tc>
        <w:tc>
          <w:tcPr>
            <w:tcW w:type="dxa" w:w="1062"/>
          </w:tcPr>
          <w:p>
            <w:r>
              <w:rPr>
                <w:rFonts w:ascii="Times New Roman" w:hAnsi="Times New Roman"/>
                <w:sz w:val="12"/>
              </w:rPr>
              <w:t>0/0</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r>
      <w:tr>
        <w:tc>
          <w:tcPr>
            <w:tcW w:type="dxa" w:w="1062"/>
          </w:tcPr>
          <w:p>
            <w:r>
              <w:rPr>
                <w:rFonts w:ascii="Times New Roman" w:hAnsi="Times New Roman"/>
                <w:sz w:val="12"/>
              </w:rPr>
              <w:t>DNA transposons (TIR)</w:t>
            </w:r>
          </w:p>
        </w:tc>
        <w:tc>
          <w:tcPr>
            <w:tcW w:type="dxa" w:w="1062"/>
          </w:tcPr>
          <w:p>
            <w:r>
              <w:rPr>
                <w:rFonts w:ascii="Times New Roman" w:hAnsi="Times New Roman"/>
                <w:sz w:val="12"/>
              </w:rPr>
              <w:t>curated case rows</w:t>
            </w:r>
          </w:p>
        </w:tc>
        <w:tc>
          <w:tcPr>
            <w:tcW w:type="dxa" w:w="1062"/>
          </w:tcPr>
          <w:p>
            <w:r>
              <w:rPr>
                <w:rFonts w:ascii="Times New Roman" w:hAnsi="Times New Roman"/>
                <w:sz w:val="12"/>
              </w:rPr>
              <w:t>15</w:t>
            </w:r>
          </w:p>
        </w:tc>
        <w:tc>
          <w:tcPr>
            <w:tcW w:type="dxa" w:w="1062"/>
          </w:tcPr>
          <w:p>
            <w:r>
              <w:rPr>
                <w:rFonts w:ascii="Times New Roman" w:hAnsi="Times New Roman"/>
                <w:sz w:val="12"/>
              </w:rPr>
              <w:t>13/15</w:t>
            </w:r>
          </w:p>
        </w:tc>
        <w:tc>
          <w:tcPr>
            <w:tcW w:type="dxa" w:w="1062"/>
          </w:tcPr>
          <w:p>
            <w:r>
              <w:rPr>
                <w:rFonts w:ascii="Times New Roman" w:hAnsi="Times New Roman"/>
                <w:sz w:val="12"/>
              </w:rPr>
              <w:t>1.000</w:t>
            </w:r>
          </w:p>
        </w:tc>
        <w:tc>
          <w:tcPr>
            <w:tcW w:type="dxa" w:w="1062"/>
          </w:tcPr>
          <w:p>
            <w:r>
              <w:rPr>
                <w:rFonts w:ascii="Times New Roman" w:hAnsi="Times New Roman"/>
                <w:sz w:val="12"/>
              </w:rPr>
              <w:t>0.772–1.000</w:t>
            </w:r>
          </w:p>
        </w:tc>
        <w:tc>
          <w:tcPr>
            <w:tcW w:type="dxa" w:w="1062"/>
          </w:tcPr>
          <w:p>
            <w:r>
              <w:rPr>
                <w:rFonts w:ascii="Times New Roman" w:hAnsi="Times New Roman"/>
                <w:sz w:val="12"/>
              </w:rPr>
              <w:t>0.133</w:t>
            </w:r>
          </w:p>
        </w:tc>
        <w:tc>
          <w:tcPr>
            <w:tcW w:type="dxa" w:w="1062"/>
          </w:tcPr>
          <w:p>
            <w:r>
              <w:rPr>
                <w:rFonts w:ascii="Times New Roman" w:hAnsi="Times New Roman"/>
                <w:sz w:val="12"/>
              </w:rPr>
              <w:t>13/15</w:t>
            </w:r>
          </w:p>
        </w:tc>
        <w:tc>
          <w:tcPr>
            <w:tcW w:type="dxa" w:w="1062"/>
          </w:tcPr>
          <w:p>
            <w:r>
              <w:rPr>
                <w:rFonts w:ascii="Times New Roman" w:hAnsi="Times New Roman"/>
                <w:sz w:val="12"/>
              </w:rPr>
              <w:t>1.000</w:t>
            </w:r>
          </w:p>
        </w:tc>
        <w:tc>
          <w:tcPr>
            <w:tcW w:type="dxa" w:w="1062"/>
          </w:tcPr>
          <w:p>
            <w:r>
              <w:rPr>
                <w:rFonts w:ascii="Times New Roman" w:hAnsi="Times New Roman"/>
                <w:sz w:val="12"/>
              </w:rPr>
              <w:t>0.772–1.000</w:t>
            </w:r>
          </w:p>
        </w:tc>
        <w:tc>
          <w:tcPr>
            <w:tcW w:type="dxa" w:w="1062"/>
          </w:tcPr>
          <w:p>
            <w:r>
              <w:rPr>
                <w:rFonts w:ascii="Times New Roman" w:hAnsi="Times New Roman"/>
                <w:sz w:val="12"/>
              </w:rPr>
              <w:t>0.133</w:t>
            </w:r>
          </w:p>
        </w:tc>
        <w:tc>
          <w:tcPr>
            <w:tcW w:type="dxa" w:w="1062"/>
          </w:tcPr>
          <w:p>
            <w:r>
              <w:rPr>
                <w:rFonts w:ascii="Times New Roman" w:hAnsi="Times New Roman"/>
                <w:sz w:val="12"/>
              </w:rPr>
              <w:t>11/15</w:t>
            </w:r>
          </w:p>
        </w:tc>
        <w:tc>
          <w:tcPr>
            <w:tcW w:type="dxa" w:w="1062"/>
          </w:tcPr>
          <w:p>
            <w:r>
              <w:rPr>
                <w:rFonts w:ascii="Times New Roman" w:hAnsi="Times New Roman"/>
                <w:sz w:val="12"/>
              </w:rPr>
              <w:t>1.000</w:t>
            </w:r>
          </w:p>
        </w:tc>
        <w:tc>
          <w:tcPr>
            <w:tcW w:type="dxa" w:w="1062"/>
          </w:tcPr>
          <w:p>
            <w:r>
              <w:rPr>
                <w:rFonts w:ascii="Times New Roman" w:hAnsi="Times New Roman"/>
                <w:sz w:val="12"/>
              </w:rPr>
              <w:t>0.741–1.000</w:t>
            </w:r>
          </w:p>
        </w:tc>
        <w:tc>
          <w:tcPr>
            <w:tcW w:type="dxa" w:w="1062"/>
          </w:tcPr>
          <w:p>
            <w:r>
              <w:rPr>
                <w:rFonts w:ascii="Times New Roman" w:hAnsi="Times New Roman"/>
                <w:sz w:val="12"/>
              </w:rPr>
              <w:t>0.267</w:t>
            </w:r>
          </w:p>
        </w:tc>
      </w:tr>
      <w:tr>
        <w:tc>
          <w:tcPr>
            <w:tcW w:type="dxa" w:w="1062"/>
          </w:tcPr>
          <w:p>
            <w:r>
              <w:rPr>
                <w:rFonts w:ascii="Times New Roman" w:hAnsi="Times New Roman"/>
                <w:sz w:val="12"/>
              </w:rPr>
              <w:t>LINEs (non-LTR retrotransposons)</w:t>
            </w:r>
          </w:p>
        </w:tc>
        <w:tc>
          <w:tcPr>
            <w:tcW w:type="dxa" w:w="1062"/>
          </w:tcPr>
          <w:p>
            <w:r>
              <w:rPr>
                <w:rFonts w:ascii="Times New Roman" w:hAnsi="Times New Roman"/>
                <w:sz w:val="12"/>
              </w:rPr>
              <w:t>curated case rows</w:t>
            </w:r>
          </w:p>
        </w:tc>
        <w:tc>
          <w:tcPr>
            <w:tcW w:type="dxa" w:w="1062"/>
          </w:tcPr>
          <w:p>
            <w:r>
              <w:rPr>
                <w:rFonts w:ascii="Times New Roman" w:hAnsi="Times New Roman"/>
                <w:sz w:val="12"/>
              </w:rPr>
              <w:t>11</w:t>
            </w:r>
          </w:p>
        </w:tc>
        <w:tc>
          <w:tcPr>
            <w:tcW w:type="dxa" w:w="1062"/>
          </w:tcPr>
          <w:p>
            <w:r>
              <w:rPr>
                <w:rFonts w:ascii="Times New Roman" w:hAnsi="Times New Roman"/>
                <w:sz w:val="12"/>
              </w:rPr>
              <w:t>5/11</w:t>
            </w:r>
          </w:p>
        </w:tc>
        <w:tc>
          <w:tcPr>
            <w:tcW w:type="dxa" w:w="1062"/>
          </w:tcPr>
          <w:p>
            <w:r>
              <w:rPr>
                <w:rFonts w:ascii="Times New Roman" w:hAnsi="Times New Roman"/>
                <w:sz w:val="12"/>
              </w:rPr>
              <w:t>1.000</w:t>
            </w:r>
          </w:p>
        </w:tc>
        <w:tc>
          <w:tcPr>
            <w:tcW w:type="dxa" w:w="1062"/>
          </w:tcPr>
          <w:p>
            <w:r>
              <w:rPr>
                <w:rFonts w:ascii="Times New Roman" w:hAnsi="Times New Roman"/>
                <w:sz w:val="12"/>
              </w:rPr>
              <w:t>0.566–1.000</w:t>
            </w:r>
          </w:p>
        </w:tc>
        <w:tc>
          <w:tcPr>
            <w:tcW w:type="dxa" w:w="1062"/>
          </w:tcPr>
          <w:p>
            <w:r>
              <w:rPr>
                <w:rFonts w:ascii="Times New Roman" w:hAnsi="Times New Roman"/>
                <w:sz w:val="12"/>
              </w:rPr>
              <w:t>0.545</w:t>
            </w:r>
          </w:p>
        </w:tc>
        <w:tc>
          <w:tcPr>
            <w:tcW w:type="dxa" w:w="1062"/>
          </w:tcPr>
          <w:p>
            <w:r>
              <w:rPr>
                <w:rFonts w:ascii="Times New Roman" w:hAnsi="Times New Roman"/>
                <w:sz w:val="12"/>
              </w:rPr>
              <w:t>5/11</w:t>
            </w:r>
          </w:p>
        </w:tc>
        <w:tc>
          <w:tcPr>
            <w:tcW w:type="dxa" w:w="1062"/>
          </w:tcPr>
          <w:p>
            <w:r>
              <w:rPr>
                <w:rFonts w:ascii="Times New Roman" w:hAnsi="Times New Roman"/>
                <w:sz w:val="12"/>
              </w:rPr>
              <w:t>1.000</w:t>
            </w:r>
          </w:p>
        </w:tc>
        <w:tc>
          <w:tcPr>
            <w:tcW w:type="dxa" w:w="1062"/>
          </w:tcPr>
          <w:p>
            <w:r>
              <w:rPr>
                <w:rFonts w:ascii="Times New Roman" w:hAnsi="Times New Roman"/>
                <w:sz w:val="12"/>
              </w:rPr>
              <w:t>0.566–1.000</w:t>
            </w:r>
          </w:p>
        </w:tc>
        <w:tc>
          <w:tcPr>
            <w:tcW w:type="dxa" w:w="1062"/>
          </w:tcPr>
          <w:p>
            <w:r>
              <w:rPr>
                <w:rFonts w:ascii="Times New Roman" w:hAnsi="Times New Roman"/>
                <w:sz w:val="12"/>
              </w:rPr>
              <w:t>0.545</w:t>
            </w:r>
          </w:p>
        </w:tc>
        <w:tc>
          <w:tcPr>
            <w:tcW w:type="dxa" w:w="1062"/>
          </w:tcPr>
          <w:p>
            <w:r>
              <w:rPr>
                <w:rFonts w:ascii="Times New Roman" w:hAnsi="Times New Roman"/>
                <w:sz w:val="12"/>
              </w:rPr>
              <w:t>0/8</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1.000</w:t>
            </w:r>
          </w:p>
        </w:tc>
      </w:tr>
      <w:tr>
        <w:tc>
          <w:tcPr>
            <w:tcW w:type="dxa" w:w="1062"/>
          </w:tcPr>
          <w:p>
            <w:r>
              <w:rPr>
                <w:rFonts w:ascii="Times New Roman" w:hAnsi="Times New Roman"/>
                <w:sz w:val="12"/>
              </w:rPr>
              <w:t>Negative controls (non-TE)</w:t>
            </w:r>
          </w:p>
        </w:tc>
        <w:tc>
          <w:tcPr>
            <w:tcW w:type="dxa" w:w="1062"/>
          </w:tcPr>
          <w:p>
            <w:r>
              <w:rPr>
                <w:rFonts w:ascii="Times New Roman" w:hAnsi="Times New Roman"/>
                <w:sz w:val="12"/>
              </w:rPr>
              <w:t>curated case rows</w:t>
            </w:r>
          </w:p>
        </w:tc>
        <w:tc>
          <w:tcPr>
            <w:tcW w:type="dxa" w:w="1062"/>
          </w:tcPr>
          <w:p>
            <w:r>
              <w:rPr>
                <w:rFonts w:ascii="Times New Roman" w:hAnsi="Times New Roman"/>
                <w:sz w:val="12"/>
              </w:rPr>
              <w:t>11</w:t>
            </w:r>
          </w:p>
        </w:tc>
        <w:tc>
          <w:tcPr>
            <w:tcW w:type="dxa" w:w="1062"/>
          </w:tcPr>
          <w:p>
            <w:r>
              <w:rPr>
                <w:rFonts w:ascii="Times New Roman" w:hAnsi="Times New Roman"/>
                <w:sz w:val="12"/>
              </w:rPr>
              <w:t>0/11</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1.000</w:t>
            </w:r>
          </w:p>
        </w:tc>
        <w:tc>
          <w:tcPr>
            <w:tcW w:type="dxa" w:w="1062"/>
          </w:tcPr>
          <w:p>
            <w:r>
              <w:rPr>
                <w:rFonts w:ascii="Times New Roman" w:hAnsi="Times New Roman"/>
                <w:sz w:val="12"/>
              </w:rPr>
              <w:t>0/11</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1.000</w:t>
            </w:r>
          </w:p>
        </w:tc>
        <w:tc>
          <w:tcPr>
            <w:tcW w:type="dxa" w:w="1062"/>
          </w:tcPr>
          <w:p>
            <w:r>
              <w:rPr>
                <w:rFonts w:ascii="Times New Roman" w:hAnsi="Times New Roman"/>
                <w:sz w:val="12"/>
              </w:rPr>
              <w:t>0/0</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r>
      <w:tr>
        <w:tc>
          <w:tcPr>
            <w:tcW w:type="dxa" w:w="1062"/>
          </w:tcPr>
          <w:p>
            <w:r>
              <w:rPr>
                <w:rFonts w:ascii="Times New Roman" w:hAnsi="Times New Roman"/>
                <w:sz w:val="12"/>
              </w:rPr>
              <w:t>LTR divergence gradient</w:t>
            </w:r>
          </w:p>
        </w:tc>
        <w:tc>
          <w:tcPr>
            <w:tcW w:type="dxa" w:w="1062"/>
          </w:tcPr>
          <w:p>
            <w:r>
              <w:rPr>
                <w:rFonts w:ascii="Times New Roman" w:hAnsi="Times New Roman"/>
                <w:sz w:val="12"/>
              </w:rPr>
              <w:t>curated case rows</w:t>
            </w:r>
          </w:p>
        </w:tc>
        <w:tc>
          <w:tcPr>
            <w:tcW w:type="dxa" w:w="1062"/>
          </w:tcPr>
          <w:p>
            <w:r>
              <w:rPr>
                <w:rFonts w:ascii="Times New Roman" w:hAnsi="Times New Roman"/>
                <w:sz w:val="12"/>
              </w:rPr>
              <w:t>2</w:t>
            </w:r>
          </w:p>
        </w:tc>
        <w:tc>
          <w:tcPr>
            <w:tcW w:type="dxa" w:w="1062"/>
          </w:tcPr>
          <w:p>
            <w:r>
              <w:rPr>
                <w:rFonts w:ascii="Times New Roman" w:hAnsi="Times New Roman"/>
                <w:sz w:val="12"/>
              </w:rPr>
              <w:t>2/2</w:t>
            </w:r>
          </w:p>
        </w:tc>
        <w:tc>
          <w:tcPr>
            <w:tcW w:type="dxa" w:w="1062"/>
          </w:tcPr>
          <w:p>
            <w:r>
              <w:rPr>
                <w:rFonts w:ascii="Times New Roman" w:hAnsi="Times New Roman"/>
                <w:sz w:val="12"/>
              </w:rPr>
              <w:t>1.000</w:t>
            </w:r>
          </w:p>
        </w:tc>
        <w:tc>
          <w:tcPr>
            <w:tcW w:type="dxa" w:w="1062"/>
          </w:tcPr>
          <w:p>
            <w:r>
              <w:rPr>
                <w:rFonts w:ascii="Times New Roman" w:hAnsi="Times New Roman"/>
                <w:sz w:val="12"/>
              </w:rPr>
              <w:t>0.342–1.000</w:t>
            </w:r>
          </w:p>
        </w:tc>
        <w:tc>
          <w:tcPr>
            <w:tcW w:type="dxa" w:w="1062"/>
          </w:tcPr>
          <w:p>
            <w:r>
              <w:rPr>
                <w:rFonts w:ascii="Times New Roman" w:hAnsi="Times New Roman"/>
                <w:sz w:val="12"/>
              </w:rPr>
              <w:t>0.000</w:t>
            </w:r>
          </w:p>
        </w:tc>
        <w:tc>
          <w:tcPr>
            <w:tcW w:type="dxa" w:w="1062"/>
          </w:tcPr>
          <w:p>
            <w:r>
              <w:rPr>
                <w:rFonts w:ascii="Times New Roman" w:hAnsi="Times New Roman"/>
                <w:sz w:val="12"/>
              </w:rPr>
              <w:t>2/2</w:t>
            </w:r>
          </w:p>
        </w:tc>
        <w:tc>
          <w:tcPr>
            <w:tcW w:type="dxa" w:w="1062"/>
          </w:tcPr>
          <w:p>
            <w:r>
              <w:rPr>
                <w:rFonts w:ascii="Times New Roman" w:hAnsi="Times New Roman"/>
                <w:sz w:val="12"/>
              </w:rPr>
              <w:t>1.000</w:t>
            </w:r>
          </w:p>
        </w:tc>
        <w:tc>
          <w:tcPr>
            <w:tcW w:type="dxa" w:w="1062"/>
          </w:tcPr>
          <w:p>
            <w:r>
              <w:rPr>
                <w:rFonts w:ascii="Times New Roman" w:hAnsi="Times New Roman"/>
                <w:sz w:val="12"/>
              </w:rPr>
              <w:t>0.342–1.000</w:t>
            </w:r>
          </w:p>
        </w:tc>
        <w:tc>
          <w:tcPr>
            <w:tcW w:type="dxa" w:w="1062"/>
          </w:tcPr>
          <w:p>
            <w:r>
              <w:rPr>
                <w:rFonts w:ascii="Times New Roman" w:hAnsi="Times New Roman"/>
                <w:sz w:val="12"/>
              </w:rPr>
              <w:t>0.000</w:t>
            </w:r>
          </w:p>
        </w:tc>
        <w:tc>
          <w:tcPr>
            <w:tcW w:type="dxa" w:w="1062"/>
          </w:tcPr>
          <w:p>
            <w:r>
              <w:rPr>
                <w:rFonts w:ascii="Times New Roman" w:hAnsi="Times New Roman"/>
                <w:sz w:val="12"/>
              </w:rPr>
              <w:t>0/0</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r>
      <w:tr>
        <w:tc>
          <w:tcPr>
            <w:tcW w:type="dxa" w:w="1062"/>
          </w:tcPr>
          <w:p>
            <w:r>
              <w:rPr>
                <w:rFonts w:ascii="Times New Roman" w:hAnsi="Times New Roman"/>
                <w:sz w:val="12"/>
              </w:rPr>
              <w:t>Assay design</w:t>
            </w:r>
          </w:p>
        </w:tc>
        <w:tc>
          <w:tcPr>
            <w:tcW w:type="dxa" w:w="1062"/>
          </w:tcPr>
          <w:p>
            <w:r>
              <w:rPr>
                <w:rFonts w:ascii="Times New Roman" w:hAnsi="Times New Roman"/>
                <w:sz w:val="12"/>
              </w:rPr>
              <w:t>curated case rows</w:t>
            </w:r>
          </w:p>
        </w:tc>
        <w:tc>
          <w:tcPr>
            <w:tcW w:type="dxa" w:w="1062"/>
          </w:tcPr>
          <w:p>
            <w:r>
              <w:rPr>
                <w:rFonts w:ascii="Times New Roman" w:hAnsi="Times New Roman"/>
                <w:sz w:val="12"/>
              </w:rPr>
              <w:t>1</w:t>
            </w:r>
          </w:p>
        </w:tc>
        <w:tc>
          <w:tcPr>
            <w:tcW w:type="dxa" w:w="1062"/>
          </w:tcPr>
          <w:p>
            <w:r>
              <w:rPr>
                <w:rFonts w:ascii="Times New Roman" w:hAnsi="Times New Roman"/>
                <w:sz w:val="12"/>
              </w:rPr>
              <w:t>0/0</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0/0</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0/1</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1.000</w:t>
            </w:r>
          </w:p>
        </w:tc>
      </w:tr>
      <w:tr>
        <w:tc>
          <w:tcPr>
            <w:tcW w:type="dxa" w:w="1062"/>
          </w:tcPr>
          <w:p>
            <w:r>
              <w:rPr>
                <w:rFonts w:ascii="Times New Roman" w:hAnsi="Times New Roman"/>
                <w:sz w:val="12"/>
              </w:rPr>
              <w:t>Unreadable domain order</w:t>
            </w:r>
          </w:p>
        </w:tc>
        <w:tc>
          <w:tcPr>
            <w:tcW w:type="dxa" w:w="1062"/>
          </w:tcPr>
          <w:p>
            <w:r>
              <w:rPr>
                <w:rFonts w:ascii="Times New Roman" w:hAnsi="Times New Roman"/>
                <w:sz w:val="12"/>
              </w:rPr>
              <w:t>curated case rows</w:t>
            </w:r>
          </w:p>
        </w:tc>
        <w:tc>
          <w:tcPr>
            <w:tcW w:type="dxa" w:w="1062"/>
          </w:tcPr>
          <w:p>
            <w:r>
              <w:rPr>
                <w:rFonts w:ascii="Times New Roman" w:hAnsi="Times New Roman"/>
                <w:sz w:val="12"/>
              </w:rPr>
            </w:r>
          </w:p>
        </w:tc>
        <w:tc>
          <w:tcPr>
            <w:tcW w:type="dxa" w:w="1062"/>
          </w:tcPr>
          <w:p>
            <w:r>
              <w:rPr>
                <w:rFonts w:ascii="Times New Roman" w:hAnsi="Times New Roman"/>
                <w:sz w:val="12"/>
              </w:rPr>
              <w:t>0/0</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0/0</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0/0</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c>
          <w:tcPr>
            <w:tcW w:type="dxa" w:w="1062"/>
          </w:tcPr>
          <w:p>
            <w:r>
              <w:rPr>
                <w:rFonts w:ascii="Times New Roman" w:hAnsi="Times New Roman"/>
                <w:sz w:val="12"/>
              </w:rPr>
              <w:t>n/a</w:t>
            </w:r>
          </w:p>
        </w:tc>
      </w:tr>
      <w:tr>
        <w:tc>
          <w:tcPr>
            <w:tcW w:type="dxa" w:w="1062"/>
          </w:tcPr>
          <w:p>
            <w:r>
              <w:rPr>
                <w:rFonts w:ascii="Times New Roman" w:hAnsi="Times New Roman"/>
                <w:sz w:val="12"/>
              </w:rPr>
              <w:t>All panels combined (primary)</w:t>
            </w:r>
          </w:p>
        </w:tc>
        <w:tc>
          <w:tcPr>
            <w:tcW w:type="dxa" w:w="1062"/>
          </w:tcPr>
          <w:p>
            <w:r>
              <w:rPr>
                <w:rFonts w:ascii="Times New Roman" w:hAnsi="Times New Roman"/>
                <w:sz w:val="12"/>
              </w:rPr>
              <w:t>distinct input hashes</w:t>
            </w:r>
          </w:p>
        </w:tc>
        <w:tc>
          <w:tcPr>
            <w:tcW w:type="dxa" w:w="1062"/>
          </w:tcPr>
          <w:p>
            <w:r>
              <w:rPr>
                <w:rFonts w:ascii="Times New Roman" w:hAnsi="Times New Roman"/>
                <w:sz w:val="12"/>
              </w:rPr>
              <w:t>94</w:t>
            </w:r>
          </w:p>
        </w:tc>
        <w:tc>
          <w:tcPr>
            <w:tcW w:type="dxa" w:w="1062"/>
          </w:tcPr>
          <w:p>
            <w:r>
              <w:rPr>
                <w:rFonts w:ascii="Times New Roman" w:hAnsi="Times New Roman"/>
                <w:sz w:val="12"/>
              </w:rPr>
              <w:t>66/93</w:t>
            </w:r>
          </w:p>
        </w:tc>
        <w:tc>
          <w:tcPr>
            <w:tcW w:type="dxa" w:w="1062"/>
          </w:tcPr>
          <w:p>
            <w:r>
              <w:rPr>
                <w:rFonts w:ascii="Times New Roman" w:hAnsi="Times New Roman"/>
                <w:sz w:val="12"/>
              </w:rPr>
              <w:t>1.000</w:t>
            </w:r>
          </w:p>
        </w:tc>
        <w:tc>
          <w:tcPr>
            <w:tcW w:type="dxa" w:w="1062"/>
          </w:tcPr>
          <w:p>
            <w:r>
              <w:rPr>
                <w:rFonts w:ascii="Times New Roman" w:hAnsi="Times New Roman"/>
                <w:sz w:val="12"/>
              </w:rPr>
              <w:t>0.945–1.000</w:t>
            </w:r>
          </w:p>
        </w:tc>
        <w:tc>
          <w:tcPr>
            <w:tcW w:type="dxa" w:w="1062"/>
          </w:tcPr>
          <w:p>
            <w:r>
              <w:rPr>
                <w:rFonts w:ascii="Times New Roman" w:hAnsi="Times New Roman"/>
                <w:sz w:val="12"/>
              </w:rPr>
              <w:t>0.290</w:t>
            </w:r>
          </w:p>
        </w:tc>
        <w:tc>
          <w:tcPr>
            <w:tcW w:type="dxa" w:w="1062"/>
          </w:tcPr>
          <w:p>
            <w:r>
              <w:rPr>
                <w:rFonts w:ascii="Times New Roman" w:hAnsi="Times New Roman"/>
                <w:sz w:val="12"/>
              </w:rPr>
              <w:t>66/93</w:t>
            </w:r>
          </w:p>
        </w:tc>
        <w:tc>
          <w:tcPr>
            <w:tcW w:type="dxa" w:w="1062"/>
          </w:tcPr>
          <w:p>
            <w:r>
              <w:rPr>
                <w:rFonts w:ascii="Times New Roman" w:hAnsi="Times New Roman"/>
                <w:sz w:val="12"/>
              </w:rPr>
              <w:t>1.000</w:t>
            </w:r>
          </w:p>
        </w:tc>
        <w:tc>
          <w:tcPr>
            <w:tcW w:type="dxa" w:w="1062"/>
          </w:tcPr>
          <w:p>
            <w:r>
              <w:rPr>
                <w:rFonts w:ascii="Times New Roman" w:hAnsi="Times New Roman"/>
                <w:sz w:val="12"/>
              </w:rPr>
              <w:t>0.945–1.000</w:t>
            </w:r>
          </w:p>
        </w:tc>
        <w:tc>
          <w:tcPr>
            <w:tcW w:type="dxa" w:w="1062"/>
          </w:tcPr>
          <w:p>
            <w:r>
              <w:rPr>
                <w:rFonts w:ascii="Times New Roman" w:hAnsi="Times New Roman"/>
                <w:sz w:val="12"/>
              </w:rPr>
              <w:t>0.290</w:t>
            </w:r>
          </w:p>
        </w:tc>
        <w:tc>
          <w:tcPr>
            <w:tcW w:type="dxa" w:w="1062"/>
          </w:tcPr>
          <w:p>
            <w:r>
              <w:rPr>
                <w:rFonts w:ascii="Times New Roman" w:hAnsi="Times New Roman"/>
                <w:sz w:val="12"/>
              </w:rPr>
              <w:t>33/59</w:t>
            </w:r>
          </w:p>
        </w:tc>
        <w:tc>
          <w:tcPr>
            <w:tcW w:type="dxa" w:w="1062"/>
          </w:tcPr>
          <w:p>
            <w:r>
              <w:rPr>
                <w:rFonts w:ascii="Times New Roman" w:hAnsi="Times New Roman"/>
                <w:sz w:val="12"/>
              </w:rPr>
              <w:t>0.939</w:t>
            </w:r>
          </w:p>
        </w:tc>
        <w:tc>
          <w:tcPr>
            <w:tcW w:type="dxa" w:w="1062"/>
          </w:tcPr>
          <w:p>
            <w:r>
              <w:rPr>
                <w:rFonts w:ascii="Times New Roman" w:hAnsi="Times New Roman"/>
                <w:sz w:val="12"/>
              </w:rPr>
              <w:t>0.804–0.983</w:t>
            </w:r>
          </w:p>
        </w:tc>
        <w:tc>
          <w:tcPr>
            <w:tcW w:type="dxa" w:w="1062"/>
          </w:tcPr>
          <w:p>
            <w:r>
              <w:rPr>
                <w:rFonts w:ascii="Times New Roman" w:hAnsi="Times New Roman"/>
                <w:sz w:val="12"/>
              </w:rPr>
              <w:t>0.441</w:t>
            </w:r>
          </w:p>
        </w:tc>
      </w:tr>
      <w:tr>
        <w:tc>
          <w:tcPr>
            <w:tcW w:type="dxa" w:w="1062"/>
          </w:tcPr>
          <w:p>
            <w:r>
              <w:rPr>
                <w:rFonts w:ascii="Times New Roman" w:hAnsi="Times New Roman"/>
                <w:sz w:val="12"/>
              </w:rPr>
              <w:t>All panels combined (row-level sensitivity)</w:t>
            </w:r>
          </w:p>
        </w:tc>
        <w:tc>
          <w:tcPr>
            <w:tcW w:type="dxa" w:w="1062"/>
          </w:tcPr>
          <w:p>
            <w:r>
              <w:rPr>
                <w:rFonts w:ascii="Times New Roman" w:hAnsi="Times New Roman"/>
                <w:sz w:val="12"/>
              </w:rPr>
              <w:t>curated case rows</w:t>
            </w:r>
          </w:p>
        </w:tc>
        <w:tc>
          <w:tcPr>
            <w:tcW w:type="dxa" w:w="1062"/>
          </w:tcPr>
          <w:p>
            <w:r>
              <w:rPr>
                <w:rFonts w:ascii="Times New Roman" w:hAnsi="Times New Roman"/>
                <w:sz w:val="12"/>
              </w:rPr>
              <w:t>95</w:t>
            </w:r>
          </w:p>
        </w:tc>
        <w:tc>
          <w:tcPr>
            <w:tcW w:type="dxa" w:w="1062"/>
          </w:tcPr>
          <w:p>
            <w:r>
              <w:rPr>
                <w:rFonts w:ascii="Times New Roman" w:hAnsi="Times New Roman"/>
                <w:sz w:val="12"/>
              </w:rPr>
              <w:t>67/94</w:t>
            </w:r>
          </w:p>
        </w:tc>
        <w:tc>
          <w:tcPr>
            <w:tcW w:type="dxa" w:w="1062"/>
          </w:tcPr>
          <w:p>
            <w:r>
              <w:rPr>
                <w:rFonts w:ascii="Times New Roman" w:hAnsi="Times New Roman"/>
                <w:sz w:val="12"/>
              </w:rPr>
              <w:t>1.000</w:t>
            </w:r>
          </w:p>
        </w:tc>
        <w:tc>
          <w:tcPr>
            <w:tcW w:type="dxa" w:w="1062"/>
          </w:tcPr>
          <w:p>
            <w:r>
              <w:rPr>
                <w:rFonts w:ascii="Times New Roman" w:hAnsi="Times New Roman"/>
                <w:sz w:val="12"/>
              </w:rPr>
              <w:t>0.946–1.000</w:t>
            </w:r>
          </w:p>
        </w:tc>
        <w:tc>
          <w:tcPr>
            <w:tcW w:type="dxa" w:w="1062"/>
          </w:tcPr>
          <w:p>
            <w:r>
              <w:rPr>
                <w:rFonts w:ascii="Times New Roman" w:hAnsi="Times New Roman"/>
                <w:sz w:val="12"/>
              </w:rPr>
              <w:t>0.287</w:t>
            </w:r>
          </w:p>
        </w:tc>
        <w:tc>
          <w:tcPr>
            <w:tcW w:type="dxa" w:w="1062"/>
          </w:tcPr>
          <w:p>
            <w:r>
              <w:rPr>
                <w:rFonts w:ascii="Times New Roman" w:hAnsi="Times New Roman"/>
                <w:sz w:val="12"/>
              </w:rPr>
              <w:t>67/94</w:t>
            </w:r>
          </w:p>
        </w:tc>
        <w:tc>
          <w:tcPr>
            <w:tcW w:type="dxa" w:w="1062"/>
          </w:tcPr>
          <w:p>
            <w:r>
              <w:rPr>
                <w:rFonts w:ascii="Times New Roman" w:hAnsi="Times New Roman"/>
                <w:sz w:val="12"/>
              </w:rPr>
              <w:t>1.000</w:t>
            </w:r>
          </w:p>
        </w:tc>
        <w:tc>
          <w:tcPr>
            <w:tcW w:type="dxa" w:w="1062"/>
          </w:tcPr>
          <w:p>
            <w:r>
              <w:rPr>
                <w:rFonts w:ascii="Times New Roman" w:hAnsi="Times New Roman"/>
                <w:sz w:val="12"/>
              </w:rPr>
              <w:t>0.946–1.000</w:t>
            </w:r>
          </w:p>
        </w:tc>
        <w:tc>
          <w:tcPr>
            <w:tcW w:type="dxa" w:w="1062"/>
          </w:tcPr>
          <w:p>
            <w:r>
              <w:rPr>
                <w:rFonts w:ascii="Times New Roman" w:hAnsi="Times New Roman"/>
                <w:sz w:val="12"/>
              </w:rPr>
              <w:t>0.287</w:t>
            </w:r>
          </w:p>
        </w:tc>
        <w:tc>
          <w:tcPr>
            <w:tcW w:type="dxa" w:w="1062"/>
          </w:tcPr>
          <w:p>
            <w:r>
              <w:rPr>
                <w:rFonts w:ascii="Times New Roman" w:hAnsi="Times New Roman"/>
                <w:sz w:val="12"/>
              </w:rPr>
              <w:t>33/59</w:t>
            </w:r>
          </w:p>
        </w:tc>
        <w:tc>
          <w:tcPr>
            <w:tcW w:type="dxa" w:w="1062"/>
          </w:tcPr>
          <w:p>
            <w:r>
              <w:rPr>
                <w:rFonts w:ascii="Times New Roman" w:hAnsi="Times New Roman"/>
                <w:sz w:val="12"/>
              </w:rPr>
              <w:t>0.939</w:t>
            </w:r>
          </w:p>
        </w:tc>
        <w:tc>
          <w:tcPr>
            <w:tcW w:type="dxa" w:w="1062"/>
          </w:tcPr>
          <w:p>
            <w:r>
              <w:rPr>
                <w:rFonts w:ascii="Times New Roman" w:hAnsi="Times New Roman"/>
                <w:sz w:val="12"/>
              </w:rPr>
              <w:t>0.804–0.983</w:t>
            </w:r>
          </w:p>
        </w:tc>
        <w:tc>
          <w:tcPr>
            <w:tcW w:type="dxa" w:w="1062"/>
          </w:tcPr>
          <w:p>
            <w:r>
              <w:rPr>
                <w:rFonts w:ascii="Times New Roman" w:hAnsi="Times New Roman"/>
                <w:sz w:val="12"/>
              </w:rPr>
              <w:t>0.441</w:t>
            </w:r>
          </w:p>
        </w:tc>
      </w:tr>
    </w:tbl>
    <w:sectPr>
      <w:pgSz w:w="16838" w:h="11906" w:orient="landscape"/>
      <w:pgMar w:top="1440" w:right="454" w:bottom="1440" w:left="4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color w:val="000000"/>
      <w:sz w:val="13"/>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dc:creator>Tuna Birgun</dc:creator>
</cp:coreProperties>
</file>