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677A" w14:textId="77777777" w:rsidR="003112B5" w:rsidRPr="003112B5" w:rsidRDefault="003112B5" w:rsidP="003112B5">
      <w:pPr>
        <w:rPr>
          <w:b/>
          <w:bCs/>
        </w:rPr>
      </w:pPr>
      <w:r w:rsidRPr="003112B5">
        <w:rPr>
          <w:b/>
          <w:bCs/>
        </w:rPr>
        <w:t>Proje Analizi: Mini-World Tanımı &amp; İş Kuralları (PharmaStock WMS)</w:t>
      </w:r>
    </w:p>
    <w:p w14:paraId="28C1A54A" w14:textId="77777777" w:rsidR="003112B5" w:rsidRPr="003112B5" w:rsidRDefault="003112B5" w:rsidP="003112B5">
      <w:r w:rsidRPr="003112B5">
        <w:t xml:space="preserve">Bu proje kapsamında, </w:t>
      </w:r>
      <w:r w:rsidRPr="003112B5">
        <w:rPr>
          <w:b/>
          <w:bCs/>
        </w:rPr>
        <w:t>"PharmaStock"</w:t>
      </w:r>
      <w:r w:rsidRPr="003112B5">
        <w:t xml:space="preserve"> isimli bölgesel bir ecza deposunun yönetim süreçlerini otomatize etmek ve veri tutarlılığını sağlamak amacıyla bir Veri Tabanı Yönetim Sistemi (DBMS) tasarlanmıştır. Sistem; ilaç üreticilerinden yapılan tedarik süreçlerini, deponun fiziksel alan yönetimini, ilaçların kimyasal bileşenlerini ve sisteme kayıtlı perakende eczanelerin sipariş lojistiğini uçtan uca modellemektedir.</w:t>
      </w:r>
    </w:p>
    <w:p w14:paraId="27EEC5ED" w14:textId="77777777" w:rsidR="003112B5" w:rsidRPr="003112B5" w:rsidRDefault="003112B5" w:rsidP="003112B5">
      <w:pPr>
        <w:rPr>
          <w:b/>
          <w:bCs/>
        </w:rPr>
      </w:pPr>
      <w:r w:rsidRPr="003112B5">
        <w:rPr>
          <w:b/>
          <w:bCs/>
        </w:rPr>
        <w:t>Sistemdeki Temel Kurallar ve Gereksinimler:</w:t>
      </w:r>
    </w:p>
    <w:p w14:paraId="0E2BD7DD" w14:textId="77777777" w:rsidR="003112B5" w:rsidRPr="003112B5" w:rsidRDefault="003112B5" w:rsidP="003112B5">
      <w:pPr>
        <w:rPr>
          <w:b/>
          <w:bCs/>
        </w:rPr>
      </w:pPr>
      <w:r w:rsidRPr="003112B5">
        <w:rPr>
          <w:b/>
          <w:bCs/>
        </w:rPr>
        <w:t>1. İlaç Sınıflandırması ve Gelişmiş Varlık (EER) Yapısı</w:t>
      </w:r>
    </w:p>
    <w:p w14:paraId="4304E6B1" w14:textId="77777777" w:rsidR="003112B5" w:rsidRPr="003112B5" w:rsidRDefault="003112B5" w:rsidP="003112B5">
      <w:r w:rsidRPr="003112B5">
        <w:t>Depoda bulunan her ilacın benzersiz bir barkod numarası (Barcode), ticari adı (MedicineName), birim satış fiyatı (Price) ve anlık stok miktarı (StockQuantity) bulunur. Yasal mevzuatlar ve operasyonel gereksinimler doğrultusunda ilaçlar sistemde iki alt sınıfa ayrılır:</w:t>
      </w:r>
    </w:p>
    <w:p w14:paraId="2E12F0FD" w14:textId="77777777" w:rsidR="003112B5" w:rsidRPr="003112B5" w:rsidRDefault="003112B5" w:rsidP="003112B5">
      <w:pPr>
        <w:numPr>
          <w:ilvl w:val="0"/>
          <w:numId w:val="1"/>
        </w:numPr>
      </w:pPr>
      <w:r w:rsidRPr="003112B5">
        <w:rPr>
          <w:b/>
          <w:bCs/>
        </w:rPr>
        <w:t>Reçeteli İlaçlar (Prescription Medicines):</w:t>
      </w:r>
      <w:r w:rsidRPr="003112B5">
        <w:t xml:space="preserve"> Kırmızı, Yeşil, Mor veya Turuncu gibi sıkı denetime tabi reçete türlerine (PrescriptionType) sahiptir. Bu ilaçların çıkışı için sistemde yasal rapor gerekliliği (RequiresReport) kontrol edilir.</w:t>
      </w:r>
    </w:p>
    <w:p w14:paraId="27B3E7D6" w14:textId="77777777" w:rsidR="003112B5" w:rsidRPr="003112B5" w:rsidRDefault="003112B5" w:rsidP="003112B5">
      <w:pPr>
        <w:numPr>
          <w:ilvl w:val="0"/>
          <w:numId w:val="1"/>
        </w:numPr>
      </w:pPr>
      <w:r w:rsidRPr="003112B5">
        <w:rPr>
          <w:b/>
          <w:bCs/>
        </w:rPr>
        <w:t>Reçetesiz İlaçlar / Tezgah Üstü (OTC Medicines):</w:t>
      </w:r>
      <w:r w:rsidRPr="003112B5">
        <w:t xml:space="preserve"> Vitamin, takviye edici gıda veya kozmetik gibi alt kategorilere (Category) ayrılır. Bazı ürünler için yaş sınırı (AgeLimit) kısıtlaması veri tabanında saklanır.</w:t>
      </w:r>
    </w:p>
    <w:p w14:paraId="3BD1D2FC" w14:textId="77777777" w:rsidR="003112B5" w:rsidRPr="003112B5" w:rsidRDefault="003112B5" w:rsidP="003112B5">
      <w:pPr>
        <w:rPr>
          <w:b/>
          <w:bCs/>
        </w:rPr>
      </w:pPr>
      <w:r w:rsidRPr="003112B5">
        <w:rPr>
          <w:b/>
          <w:bCs/>
        </w:rPr>
        <w:t>2. Muadil İlaç ve Etken Madde Yönetimi (Many-to-Many İlişkisi)</w:t>
      </w:r>
    </w:p>
    <w:p w14:paraId="7B97EA01" w14:textId="77777777" w:rsidR="003112B5" w:rsidRPr="003112B5" w:rsidRDefault="003112B5" w:rsidP="003112B5">
      <w:r w:rsidRPr="003112B5">
        <w:t xml:space="preserve">Sistemde ilaçların ticari isimlerinden bağımsız olarak, içerdikleri kimyasal formüller de takip edilir. Her </w:t>
      </w:r>
      <w:r w:rsidRPr="003112B5">
        <w:rPr>
          <w:b/>
          <w:bCs/>
        </w:rPr>
        <w:t>Etken Madde (Active Ingredient)</w:t>
      </w:r>
      <w:r w:rsidRPr="003112B5">
        <w:t xml:space="preserve"> benzersiz bir kimyasal ada (ChemicalName) ve günlük maksimum dozaj sınırına (MaxDailyDose) sahiptir.</w:t>
      </w:r>
    </w:p>
    <w:p w14:paraId="0DF92E1D" w14:textId="77777777" w:rsidR="003112B5" w:rsidRPr="003112B5" w:rsidRDefault="003112B5" w:rsidP="003112B5">
      <w:pPr>
        <w:numPr>
          <w:ilvl w:val="0"/>
          <w:numId w:val="2"/>
        </w:numPr>
      </w:pPr>
      <w:r w:rsidRPr="003112B5">
        <w:rPr>
          <w:i/>
          <w:iCs/>
        </w:rPr>
        <w:t>İş Kuralı:</w:t>
      </w:r>
      <w:r w:rsidRPr="003112B5">
        <w:t xml:space="preserve"> Bir ilaç birden fazla etken maddenin birleşiminden oluşabilir (örn: Ağrı kesici + Kas gevşetici). Aynı şekilde, bir etken madde piyasadaki onlarca farklı markanın ilacında bulunabilir. Bu durum, sistemde esnek bir </w:t>
      </w:r>
      <w:r w:rsidRPr="003112B5">
        <w:rPr>
          <w:b/>
          <w:bCs/>
        </w:rPr>
        <w:t>Çoka-Çok (M:N)</w:t>
      </w:r>
      <w:r w:rsidRPr="003112B5">
        <w:t xml:space="preserve"> ilişkisiyle çözülerek, depoda bir ilaç tükendiğinde eczanelere aynı etken maddeye sahip </w:t>
      </w:r>
      <w:r w:rsidRPr="003112B5">
        <w:rPr>
          <w:b/>
          <w:bCs/>
        </w:rPr>
        <w:t>"Muadil (Eşdeğer) İlaç"</w:t>
      </w:r>
      <w:r w:rsidRPr="003112B5">
        <w:t xml:space="preserve"> önerilebilmesini sağlar.</w:t>
      </w:r>
    </w:p>
    <w:p w14:paraId="2B6ACADB" w14:textId="77777777" w:rsidR="003112B5" w:rsidRPr="003112B5" w:rsidRDefault="003112B5" w:rsidP="003112B5">
      <w:pPr>
        <w:rPr>
          <w:b/>
          <w:bCs/>
        </w:rPr>
      </w:pPr>
      <w:r w:rsidRPr="003112B5">
        <w:rPr>
          <w:b/>
          <w:bCs/>
        </w:rPr>
        <w:t>3. Fiziksel Depo Alanları ve Soğuk Zincir Takibi</w:t>
      </w:r>
    </w:p>
    <w:p w14:paraId="3AF4EF80" w14:textId="77777777" w:rsidR="003112B5" w:rsidRPr="003112B5" w:rsidRDefault="003112B5" w:rsidP="003112B5">
      <w:r w:rsidRPr="003112B5">
        <w:t xml:space="preserve">Deponun içindeki fiziksel yerleşim, kontrollü </w:t>
      </w:r>
      <w:r w:rsidRPr="003112B5">
        <w:rPr>
          <w:b/>
          <w:bCs/>
        </w:rPr>
        <w:t>Depo Bölümleri (Storage Sections)</w:t>
      </w:r>
      <w:r w:rsidRPr="003112B5">
        <w:t xml:space="preserve"> aracılığıyla yönetilir. Her bölümün benzersiz bir ID'si, adı (örn: Aşı Dolabı-A, Kuru Reyon-3) ve anlık sıcaklık değeri (CurrentTemperature) tutulur.</w:t>
      </w:r>
    </w:p>
    <w:p w14:paraId="6194E753" w14:textId="77777777" w:rsidR="003112B5" w:rsidRPr="003112B5" w:rsidRDefault="003112B5" w:rsidP="003112B5">
      <w:pPr>
        <w:numPr>
          <w:ilvl w:val="0"/>
          <w:numId w:val="3"/>
        </w:numPr>
      </w:pPr>
      <w:r w:rsidRPr="003112B5">
        <w:rPr>
          <w:i/>
          <w:iCs/>
        </w:rPr>
        <w:t>İş Kuralı:</w:t>
      </w:r>
      <w:r w:rsidRPr="003112B5">
        <w:t xml:space="preserve"> İlaçların tanımında soğuk zincir gereksinimi (RequiresColdChain) bir özellik (attribute) olarak tutulur. Eğer bir ilacın soğuk zincir değeri True ise, sistem bu ilacın fiziksel olarak sadece sıcaklık değeri yasal sınırlarda (örn: +2°C ile +8°C </w:t>
      </w:r>
      <w:r w:rsidRPr="003112B5">
        <w:lastRenderedPageBreak/>
        <w:t>arasında) olan güvenli bir depolama bölümüne (StorageSection) yerleştirilmesine izin verir.</w:t>
      </w:r>
    </w:p>
    <w:p w14:paraId="287B5596" w14:textId="77777777" w:rsidR="003112B5" w:rsidRPr="003112B5" w:rsidRDefault="003112B5" w:rsidP="003112B5">
      <w:pPr>
        <w:rPr>
          <w:b/>
          <w:bCs/>
        </w:rPr>
      </w:pPr>
      <w:r w:rsidRPr="003112B5">
        <w:rPr>
          <w:b/>
          <w:bCs/>
        </w:rPr>
        <w:t>4. Tedarik ve Son Kullanma Tarihi (SKT) Yönetimi</w:t>
      </w:r>
    </w:p>
    <w:p w14:paraId="1E8F2DB1" w14:textId="77777777" w:rsidR="003112B5" w:rsidRPr="003112B5" w:rsidRDefault="003112B5" w:rsidP="003112B5">
      <w:r w:rsidRPr="003112B5">
        <w:t>Depo, ilaçları üretici firmalardan (Manufacturers) belirli dönemlerde toplu "Partiler" (Batches/Lots) halinde satın alır. Her partinin üretici tarafından basılmış benzersiz bir parti numarası (BatchNo), üretim tarihi (ProductionDate), son kullanma tarihi (ExpirationDate) ve partideki ürün adedi (QuantityReceived) saklanır. Bu sayede depoda, son kullanma tarihi yaklaşan ürünlerin öncelikli satılması (FEFO - First Expired, First Out) algoritması işletilir.</w:t>
      </w:r>
    </w:p>
    <w:p w14:paraId="75D89CBD" w14:textId="77777777" w:rsidR="003112B5" w:rsidRPr="003112B5" w:rsidRDefault="003112B5" w:rsidP="003112B5">
      <w:pPr>
        <w:rPr>
          <w:b/>
          <w:bCs/>
        </w:rPr>
      </w:pPr>
      <w:r w:rsidRPr="003112B5">
        <w:rPr>
          <w:b/>
          <w:bCs/>
        </w:rPr>
        <w:t>5. Eczane Sipariş ve Lojistik Süreci</w:t>
      </w:r>
    </w:p>
    <w:p w14:paraId="1201FCC5" w14:textId="77777777" w:rsidR="003112B5" w:rsidRPr="003112B5" w:rsidRDefault="003112B5" w:rsidP="003112B5">
      <w:r w:rsidRPr="003112B5">
        <w:t xml:space="preserve">Depodan sadece Sağlık Bakanlığı'na kayıtlı lisanslı perakende </w:t>
      </w:r>
      <w:r w:rsidRPr="003112B5">
        <w:rPr>
          <w:b/>
          <w:bCs/>
        </w:rPr>
        <w:t>Eczaneler (Pharmacies)</w:t>
      </w:r>
      <w:r w:rsidRPr="003112B5">
        <w:t xml:space="preserve"> mal çekebilir. Her eczanenin benzersiz GLN Numarası (Global Location Number), eczane adı, eczacı ismi ve şehir bilgisi tutulur.</w:t>
      </w:r>
    </w:p>
    <w:p w14:paraId="714AB9A6" w14:textId="77777777" w:rsidR="003112B5" w:rsidRPr="003112B5" w:rsidRDefault="003112B5" w:rsidP="003112B5">
      <w:pPr>
        <w:numPr>
          <w:ilvl w:val="0"/>
          <w:numId w:val="4"/>
        </w:numPr>
      </w:pPr>
      <w:r w:rsidRPr="003112B5">
        <w:t xml:space="preserve">Eczaneler sisteme giriş yaparak birden fazla ilacı içeren </w:t>
      </w:r>
      <w:r w:rsidRPr="003112B5">
        <w:rPr>
          <w:b/>
          <w:bCs/>
        </w:rPr>
        <w:t>Siparişler (Orders)</w:t>
      </w:r>
      <w:r w:rsidRPr="003112B5">
        <w:t xml:space="preserve"> oluşturur. Her siparişin benzersiz bir ID'si, sipariş tarihi, anlık durumu (Hazırlanıyor, Kargoda, Teslim Edildi) ve toplam fatura tutarı hesaplanır.</w:t>
      </w:r>
    </w:p>
    <w:p w14:paraId="5AC11C53" w14:textId="77777777" w:rsidR="003112B5" w:rsidRPr="003112B5" w:rsidRDefault="003112B5" w:rsidP="003112B5">
      <w:pPr>
        <w:numPr>
          <w:ilvl w:val="0"/>
          <w:numId w:val="4"/>
        </w:numPr>
      </w:pPr>
      <w:r w:rsidRPr="003112B5">
        <w:t>Sipariş anındaki ürün fiyatları değişebileceğinden, sipariş detaylarında (OrderDetails) her ilacın o siparişe özel satış fiyatı (UnitPrice) ve talep edilen adet (Quantity) geçmişe dönük veri tutarlılığı için arşivlenir.</w:t>
      </w:r>
    </w:p>
    <w:p w14:paraId="0B6FE9A4" w14:textId="77777777" w:rsidR="00FC7FDF" w:rsidRDefault="00FC7FDF"/>
    <w:sectPr w:rsidR="00FC7F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1011"/>
    <w:multiLevelType w:val="multilevel"/>
    <w:tmpl w:val="10E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53C16"/>
    <w:multiLevelType w:val="multilevel"/>
    <w:tmpl w:val="D27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A71E8"/>
    <w:multiLevelType w:val="multilevel"/>
    <w:tmpl w:val="43F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55CE2"/>
    <w:multiLevelType w:val="multilevel"/>
    <w:tmpl w:val="4C1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649817">
    <w:abstractNumId w:val="1"/>
  </w:num>
  <w:num w:numId="2" w16cid:durableId="1552962292">
    <w:abstractNumId w:val="3"/>
  </w:num>
  <w:num w:numId="3" w16cid:durableId="618491302">
    <w:abstractNumId w:val="0"/>
  </w:num>
  <w:num w:numId="4" w16cid:durableId="517158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159"/>
    <w:rsid w:val="003112B5"/>
    <w:rsid w:val="00627159"/>
    <w:rsid w:val="00A40D8A"/>
    <w:rsid w:val="00E17C36"/>
    <w:rsid w:val="00FC7F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99FAA-AEF9-4C17-875D-31573692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159"/>
    <w:rPr>
      <w:rFonts w:eastAsiaTheme="majorEastAsia" w:cstheme="majorBidi"/>
      <w:color w:val="272727" w:themeColor="text1" w:themeTint="D8"/>
    </w:rPr>
  </w:style>
  <w:style w:type="paragraph" w:styleId="Title">
    <w:name w:val="Title"/>
    <w:basedOn w:val="Normal"/>
    <w:next w:val="Normal"/>
    <w:link w:val="TitleChar"/>
    <w:uiPriority w:val="10"/>
    <w:qFormat/>
    <w:rsid w:val="00627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159"/>
    <w:pPr>
      <w:spacing w:before="160"/>
      <w:jc w:val="center"/>
    </w:pPr>
    <w:rPr>
      <w:i/>
      <w:iCs/>
      <w:color w:val="404040" w:themeColor="text1" w:themeTint="BF"/>
    </w:rPr>
  </w:style>
  <w:style w:type="character" w:customStyle="1" w:styleId="QuoteChar">
    <w:name w:val="Quote Char"/>
    <w:basedOn w:val="DefaultParagraphFont"/>
    <w:link w:val="Quote"/>
    <w:uiPriority w:val="29"/>
    <w:rsid w:val="00627159"/>
    <w:rPr>
      <w:i/>
      <w:iCs/>
      <w:color w:val="404040" w:themeColor="text1" w:themeTint="BF"/>
    </w:rPr>
  </w:style>
  <w:style w:type="paragraph" w:styleId="ListParagraph">
    <w:name w:val="List Paragraph"/>
    <w:basedOn w:val="Normal"/>
    <w:uiPriority w:val="34"/>
    <w:qFormat/>
    <w:rsid w:val="00627159"/>
    <w:pPr>
      <w:ind w:left="720"/>
      <w:contextualSpacing/>
    </w:pPr>
  </w:style>
  <w:style w:type="character" w:styleId="IntenseEmphasis">
    <w:name w:val="Intense Emphasis"/>
    <w:basedOn w:val="DefaultParagraphFont"/>
    <w:uiPriority w:val="21"/>
    <w:qFormat/>
    <w:rsid w:val="00627159"/>
    <w:rPr>
      <w:i/>
      <w:iCs/>
      <w:color w:val="0F4761" w:themeColor="accent1" w:themeShade="BF"/>
    </w:rPr>
  </w:style>
  <w:style w:type="paragraph" w:styleId="IntenseQuote">
    <w:name w:val="Intense Quote"/>
    <w:basedOn w:val="Normal"/>
    <w:next w:val="Normal"/>
    <w:link w:val="IntenseQuoteChar"/>
    <w:uiPriority w:val="30"/>
    <w:qFormat/>
    <w:rsid w:val="00627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159"/>
    <w:rPr>
      <w:i/>
      <w:iCs/>
      <w:color w:val="0F4761" w:themeColor="accent1" w:themeShade="BF"/>
    </w:rPr>
  </w:style>
  <w:style w:type="character" w:styleId="IntenseReference">
    <w:name w:val="Intense Reference"/>
    <w:basedOn w:val="DefaultParagraphFont"/>
    <w:uiPriority w:val="32"/>
    <w:qFormat/>
    <w:rsid w:val="00627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YUSUF KAN</dc:creator>
  <cp:keywords/>
  <dc:description/>
  <cp:lastModifiedBy>UMUT YUSUF KAN</cp:lastModifiedBy>
  <cp:revision>2</cp:revision>
  <dcterms:created xsi:type="dcterms:W3CDTF">2026-05-19T10:26:00Z</dcterms:created>
  <dcterms:modified xsi:type="dcterms:W3CDTF">2026-05-19T10:27:00Z</dcterms:modified>
</cp:coreProperties>
</file>