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ind w:left="0" w:righ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1473835" cy="40767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73835" cy="4076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br w:type="textWrapping"/>
      </w:r>
      <w:bookmarkStart w:colFirst="0" w:colLast="0" w:name="bookmark=id.911205ur2cqd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sz w:val="24"/>
          <w:szCs w:val="24"/>
          <w:highlight w:val="white"/>
          <w:u w:val="none"/>
          <w:vertAlign w:val="baseline"/>
          <w:rtl w:val="0"/>
        </w:rPr>
        <w:t xml:space="preserve">TOBB ETU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sz w:val="24"/>
          <w:szCs w:val="24"/>
          <w:highlight w:val="white"/>
          <w:u w:val="none"/>
          <w:vertAlign w:val="baseline"/>
          <w:rtl w:val="0"/>
        </w:rPr>
        <w:t xml:space="preserve">Economy &amp; Technology University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b w:val="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white"/>
          <w:rtl w:val="0"/>
        </w:rPr>
        <w:t xml:space="preserve">BIL 495 / YAP 495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b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Software Test Plan (STP)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Reference: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IEEE 829-2008 / ISO/IEC/IEEE 29119-3 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heading=h.2jb4ad34c35m" w:id="1"/>
      <w:bookmarkEnd w:id="1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Document Control Table</w:t>
      </w:r>
    </w:p>
    <w:tbl>
      <w:tblPr>
        <w:tblStyle w:val="Table1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Document Title</w:t>
            </w:r>
          </w:p>
        </w:tc>
        <w:tc>
          <w:tcPr/>
          <w:p w:rsidR="00000000" w:rsidDel="00000000" w:rsidP="00000000" w:rsidRDefault="00000000" w:rsidRPr="00000000" w14:paraId="0000000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Project Closure Report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Document ID</w:t>
            </w:r>
          </w:p>
        </w:tc>
        <w:tc>
          <w:tcPr/>
          <w:p w:rsidR="00000000" w:rsidDel="00000000" w:rsidP="00000000" w:rsidRDefault="00000000" w:rsidRPr="00000000" w14:paraId="0000000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(To be assigned)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Prepared By (Author)</w:t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Reviewed By</w:t>
            </w:r>
          </w:p>
        </w:tc>
        <w:tc>
          <w:tcPr/>
          <w:p w:rsidR="00000000" w:rsidDel="00000000" w:rsidP="00000000" w:rsidRDefault="00000000" w:rsidRPr="00000000" w14:paraId="0000001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Approved By</w:t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Preparation Date</w:t>
            </w:r>
          </w:p>
        </w:tc>
        <w:tc>
          <w:tcPr/>
          <w:p w:rsidR="00000000" w:rsidDel="00000000" w:rsidP="00000000" w:rsidRDefault="00000000" w:rsidRPr="00000000" w14:paraId="0000001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Approval Date</w:t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Version / Revision</w:t>
            </w:r>
          </w:p>
        </w:tc>
        <w:tc>
          <w:tcPr/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Confidentiality Level</w:t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Internal / Restricted / Public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Reference Standards</w:t>
            </w:r>
          </w:p>
        </w:tc>
        <w:tc>
          <w:tcPr/>
          <w:p w:rsidR="00000000" w:rsidDel="00000000" w:rsidP="00000000" w:rsidRDefault="00000000" w:rsidRPr="00000000" w14:paraId="0000001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IEEE 15288, IEEE 12207, INCOSE SE Handbook v5</w:t>
            </w:r>
          </w:p>
        </w:tc>
      </w:tr>
    </w:tbl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heading=h.xzr7f2p8j8" w:id="2"/>
      <w:bookmarkEnd w:id="2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Change Record (Revision History Table)</w:t>
      </w:r>
    </w:p>
    <w:tbl>
      <w:tblPr>
        <w:tblStyle w:val="Table2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28"/>
        <w:gridCol w:w="1728"/>
        <w:gridCol w:w="1728"/>
        <w:gridCol w:w="1728"/>
        <w:gridCol w:w="1728"/>
        <w:tblGridChange w:id="0">
          <w:tblGrid>
            <w:gridCol w:w="1728"/>
            <w:gridCol w:w="1728"/>
            <w:gridCol w:w="1728"/>
            <w:gridCol w:w="1728"/>
            <w:gridCol w:w="172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Revision</w:t>
            </w:r>
          </w:p>
        </w:tc>
        <w:tc>
          <w:tcPr/>
          <w:p w:rsidR="00000000" w:rsidDel="00000000" w:rsidP="00000000" w:rsidRDefault="00000000" w:rsidRPr="00000000" w14:paraId="0000002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2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Prepared By</w:t>
            </w:r>
          </w:p>
        </w:tc>
        <w:tc>
          <w:tcPr/>
          <w:p w:rsidR="00000000" w:rsidDel="00000000" w:rsidP="00000000" w:rsidRDefault="00000000" w:rsidRPr="00000000" w14:paraId="0000002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Reviewed/Approved By</w:t>
            </w:r>
          </w:p>
        </w:tc>
        <w:tc>
          <w:tcPr/>
          <w:p w:rsidR="00000000" w:rsidDel="00000000" w:rsidP="00000000" w:rsidRDefault="00000000" w:rsidRPr="00000000" w14:paraId="0000002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Description of Change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1.0</w:t>
            </w:r>
          </w:p>
        </w:tc>
        <w:tc>
          <w:tcPr/>
          <w:p w:rsidR="00000000" w:rsidDel="00000000" w:rsidP="00000000" w:rsidRDefault="00000000" w:rsidRPr="00000000" w14:paraId="0000002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(Date)</w:t>
            </w:r>
          </w:p>
        </w:tc>
        <w:tc>
          <w:tcPr/>
          <w:p w:rsidR="00000000" w:rsidDel="00000000" w:rsidP="00000000" w:rsidRDefault="00000000" w:rsidRPr="00000000" w14:paraId="0000002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(Author)</w:t>
            </w:r>
          </w:p>
        </w:tc>
        <w:tc>
          <w:tcPr/>
          <w:p w:rsidR="00000000" w:rsidDel="00000000" w:rsidP="00000000" w:rsidRDefault="00000000" w:rsidRPr="00000000" w14:paraId="0000002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(Approver)</w:t>
            </w:r>
          </w:p>
        </w:tc>
        <w:tc>
          <w:tcPr/>
          <w:p w:rsidR="00000000" w:rsidDel="00000000" w:rsidP="00000000" w:rsidRDefault="00000000" w:rsidRPr="00000000" w14:paraId="0000002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Initial Release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1.1</w:t>
            </w:r>
          </w:p>
        </w:tc>
        <w:tc>
          <w:tcPr/>
          <w:p w:rsidR="00000000" w:rsidDel="00000000" w:rsidP="00000000" w:rsidRDefault="00000000" w:rsidRPr="00000000" w14:paraId="0000002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Minor editorial updates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1.2</w:t>
            </w:r>
          </w:p>
        </w:tc>
        <w:tc>
          <w:tcPr/>
          <w:p w:rsidR="00000000" w:rsidDel="00000000" w:rsidP="00000000" w:rsidRDefault="00000000" w:rsidRPr="00000000" w14:paraId="0000003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Added stakeholder feedback section</w:t>
            </w:r>
          </w:p>
        </w:tc>
      </w:tr>
    </w:tbl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id w:val="1152770584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36">
          <w:pPr>
            <w:widowControl w:val="0"/>
            <w:spacing w:after="0" w:before="60" w:line="240" w:lineRule="auto"/>
            <w:rPr>
              <w:b w:val="0"/>
              <w:color w:val="1155cc"/>
              <w:u w:val="single"/>
            </w:rPr>
          </w:pPr>
          <w:r w:rsidDel="00000000" w:rsidR="00000000" w:rsidRPr="00000000">
            <w:fldChar w:fldCharType="begin"/>
            <w:instrText xml:space="preserve"> TOC \h \u \z \n \t "Heading 1,1,Heading 2,2,Heading 3,3,Heading 4,4,Heading 5,5,Heading 6,6,"</w:instrText>
            <w:fldChar w:fldCharType="separate"/>
          </w:r>
          <w:hyperlink w:anchor="_heading="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1. Introduction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widowControl w:val="0"/>
            <w:spacing w:after="0" w:before="60" w:line="240" w:lineRule="auto"/>
            <w:rPr>
              <w:b w:val="0"/>
              <w:color w:val="1155cc"/>
              <w:u w:val="single"/>
            </w:rPr>
          </w:pPr>
          <w:hyperlink w:anchor="_heading="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1.1 Purpose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widowControl w:val="0"/>
            <w:spacing w:after="0" w:before="60" w:line="240" w:lineRule="auto"/>
            <w:rPr>
              <w:b w:val="0"/>
              <w:color w:val="1155cc"/>
              <w:u w:val="single"/>
            </w:rPr>
          </w:pPr>
          <w:hyperlink w:anchor="_heading="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1.2 References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widowControl w:val="0"/>
            <w:spacing w:after="0" w:before="60" w:line="240" w:lineRule="auto"/>
            <w:rPr>
              <w:b w:val="0"/>
              <w:color w:val="1155cc"/>
              <w:u w:val="single"/>
            </w:rPr>
          </w:pPr>
          <w:hyperlink w:anchor="_heading="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2. Test Items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widowControl w:val="0"/>
            <w:spacing w:after="0" w:before="60" w:line="240" w:lineRule="auto"/>
            <w:rPr>
              <w:b w:val="0"/>
              <w:color w:val="1155cc"/>
              <w:u w:val="single"/>
            </w:rPr>
          </w:pPr>
          <w:hyperlink w:anchor="_heading="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3. Features to be Tested / Not Tested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widowControl w:val="0"/>
            <w:spacing w:after="0" w:before="60" w:line="240" w:lineRule="auto"/>
            <w:rPr>
              <w:b w:val="0"/>
              <w:color w:val="1155cc"/>
              <w:u w:val="single"/>
            </w:rPr>
          </w:pPr>
          <w:hyperlink w:anchor="_heading="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4. Test Approach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widowControl w:val="0"/>
            <w:spacing w:after="0" w:before="60" w:line="240" w:lineRule="auto"/>
            <w:rPr>
              <w:b w:val="0"/>
              <w:color w:val="1155cc"/>
              <w:u w:val="single"/>
            </w:rPr>
          </w:pPr>
          <w:hyperlink w:anchor="_heading="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5. Pass/Fail Criteria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widowControl w:val="0"/>
            <w:spacing w:after="0" w:before="60" w:line="240" w:lineRule="auto"/>
            <w:rPr>
              <w:b w:val="0"/>
              <w:color w:val="1155cc"/>
              <w:u w:val="single"/>
            </w:rPr>
          </w:pPr>
          <w:hyperlink w:anchor="_heading="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6. Test Deliverables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widowControl w:val="0"/>
            <w:spacing w:after="0" w:before="60" w:line="240" w:lineRule="auto"/>
            <w:rPr>
              <w:b w:val="0"/>
              <w:color w:val="1155cc"/>
              <w:u w:val="single"/>
            </w:rPr>
          </w:pPr>
          <w:hyperlink w:anchor="_heading="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7. Schedule and Responsibilities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F">
          <w:pPr>
            <w:widowControl w:val="0"/>
            <w:spacing w:after="0" w:before="60" w:line="240" w:lineRule="auto"/>
            <w:rPr>
              <w:b w:val="0"/>
              <w:color w:val="1155cc"/>
              <w:u w:val="single"/>
            </w:rPr>
          </w:pPr>
          <w:hyperlink w:anchor="_heading="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8. Risks and Contingencies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0">
          <w:pPr>
            <w:widowControl w:val="0"/>
            <w:spacing w:after="0" w:before="60" w:line="240" w:lineRule="auto"/>
            <w:rPr>
              <w:b w:val="0"/>
              <w:color w:val="1155cc"/>
              <w:u w:val="single"/>
            </w:rPr>
          </w:pPr>
          <w:hyperlink w:anchor="_heading=h.m3t19x6tgn82">
            <w:r w:rsidDel="00000000" w:rsidR="00000000" w:rsidRPr="00000000">
              <w:rPr>
                <w:b w:val="0"/>
                <w:color w:val="1155cc"/>
                <w:u w:val="single"/>
                <w:rtl w:val="0"/>
              </w:rPr>
              <w:t xml:space="preserve">9. Appendix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1">
          <w:pPr>
            <w:widowControl w:val="0"/>
            <w:spacing w:after="0" w:before="60" w:line="240" w:lineRule="auto"/>
            <w:rPr>
              <w:b w:val="0"/>
              <w:color w:val="1155cc"/>
              <w:u w:val="single"/>
            </w:rPr>
          </w:pPr>
          <w:hyperlink w:anchor="_heading=h.dw7fta3k7laj">
            <w:r w:rsidDel="00000000" w:rsidR="00000000" w:rsidRPr="00000000">
              <w:rPr>
                <w:b w:val="0"/>
                <w:color w:val="1155cc"/>
                <w:u w:val="single"/>
                <w:rtl w:val="0"/>
              </w:rPr>
              <w:t xml:space="preserve">10. References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1. Introduction</w:t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1.1 Purpose</w:t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Explain test objectives and scope.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1.2 References</w:t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Include SRS, design documents, and standards.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2. Test Items</w:t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List components or modules to be tested.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3. Features to be Tested / Not Tested</w:t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Clarify scope boundaries.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4. Test Approach</w:t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Describe levels of testing (unit, integration, system, acceptance) and methods.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5. Pass/Fail Criteria</w:t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Define measurable conditions for success.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6. Test Deliverables</w:t>
      </w:r>
    </w:p>
    <w:p w:rsidR="00000000" w:rsidDel="00000000" w:rsidP="00000000" w:rsidRDefault="00000000" w:rsidRPr="00000000" w14:paraId="0000006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List expected artifacts (test cases, logs, reports).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7. Schedule and Responsibilities</w:t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Provide timeline and who is responsible for each test phase.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8. Risks and Contingencies</w:t>
      </w:r>
    </w:p>
    <w:p w:rsidR="00000000" w:rsidDel="00000000" w:rsidP="00000000" w:rsidRDefault="00000000" w:rsidRPr="00000000" w14:paraId="0000006F">
      <w:pPr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Identify possible risks affecting testing.</w:t>
      </w:r>
    </w:p>
    <w:p w:rsidR="00000000" w:rsidDel="00000000" w:rsidP="00000000" w:rsidRDefault="00000000" w:rsidRPr="00000000" w14:paraId="00000070">
      <w:pPr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heading=h.m3t19x6tgn82" w:id="3"/>
      <w:bookmarkEnd w:id="3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9. Appendix</w:t>
      </w:r>
    </w:p>
    <w:p w:rsidR="00000000" w:rsidDel="00000000" w:rsidP="00000000" w:rsidRDefault="00000000" w:rsidRPr="00000000" w14:paraId="00000072">
      <w:pPr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rPr>
          <w:rFonts w:ascii="Times New Roman" w:cs="Times New Roman" w:eastAsia="Times New Roman" w:hAnsi="Times New Roman"/>
          <w:i w:val="1"/>
          <w:sz w:val="24"/>
          <w:szCs w:val="24"/>
        </w:rPr>
      </w:pPr>
      <w:bookmarkStart w:colFirst="0" w:colLast="0" w:name="_heading=h.dw7fta3k7laj" w:id="4"/>
      <w:bookmarkEnd w:id="4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10. References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widowControl w:val="1"/>
        <w:spacing w:after="200" w:before="0" w:line="276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widowControl w:val="1"/>
        <w:spacing w:after="200" w:before="0" w:line="276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before="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="Calibri" w:cs="" w:eastAsia="" w:hAnsi="Calibri"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="Calibri" w:cs="" w:eastAsia="" w:hAnsi="Calibri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="Calibri" w:cs="" w:eastAsia="" w:hAnsi="Calibri"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 w:val="1"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 w:val="1"/>
    <w:rsid w:val="00E618BF"/>
    <w:rPr/>
  </w:style>
  <w:style w:type="character" w:styleId="DefaultParagraphFont" w:default="1">
    <w:name w:val="Default Paragraph Font"/>
    <w:uiPriority w:val="1"/>
    <w:semiHidden w:val="1"/>
    <w:unhideWhenUsed w:val="1"/>
    <w:qFormat w:val="1"/>
    <w:rPr/>
  </w:style>
  <w:style w:type="character" w:styleId="Heading1Char" w:customStyle="1">
    <w:name w:val="Heading 1 Char"/>
    <w:basedOn w:val="DefaultParagraphFont"/>
    <w:link w:val="Heading1"/>
    <w:uiPriority w:val="9"/>
    <w:qFormat w:val="1"/>
    <w:rsid w:val="00FC693F"/>
    <w:rPr>
      <w:rFonts w:ascii="Calibri" w:cs="" w:eastAsia="" w:hAnsi="Calibri"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 w:val="1"/>
    <w:rsid w:val="00FC693F"/>
    <w:rPr>
      <w:rFonts w:ascii="Calibri" w:cs="" w:eastAsia="" w:hAnsi="Calibri"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 w:val="1"/>
    <w:rsid w:val="00FC693F"/>
    <w:rPr>
      <w:rFonts w:ascii="Calibri" w:cs="" w:eastAsia="" w:hAnsi="Calibri"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qFormat w:val="1"/>
    <w:rsid w:val="00FC693F"/>
    <w:rPr>
      <w:rFonts w:ascii="Calibri" w:cs="" w:eastAsia="" w:hAnsi="Calibri" w:asciiTheme="majorHAnsi" w:cstheme="majorBidi" w:eastAsiaTheme="majorEastAsia" w:hAnsiTheme="majorHAnsi"/>
      <w:color w:val="17365d" w:themeColor="text2" w:themeShade="0000BF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 w:val="1"/>
    <w:rsid w:val="00FC693F"/>
    <w:rPr>
      <w:rFonts w:ascii="Calibri" w:cs="" w:eastAsia="" w:hAnsi="Calibri"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 w:val="1"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 w:val="1"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 w:val="1"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 w:val="1"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 w:val="1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qFormat w:val="1"/>
    <w:rsid w:val="00FC693F"/>
    <w:rPr>
      <w:rFonts w:ascii="Calibri" w:cs="" w:eastAsia="" w:hAnsi="Calibri"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qFormat w:val="1"/>
    <w:rsid w:val="00FC693F"/>
    <w:rPr>
      <w:rFonts w:ascii="Calibri" w:cs="" w:eastAsia="" w:hAnsi="Calibri"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qFormat w:val="1"/>
    <w:rsid w:val="00FC693F"/>
    <w:rPr>
      <w:rFonts w:ascii="Calibri" w:cs="" w:eastAsia="" w:hAnsi="Calibri"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qFormat w:val="1"/>
    <w:rsid w:val="00FC693F"/>
    <w:rPr>
      <w:rFonts w:ascii="Calibri" w:cs="" w:eastAsia="" w:hAnsi="Calibri"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qFormat w:val="1"/>
    <w:rsid w:val="00FC693F"/>
    <w:rPr>
      <w:rFonts w:ascii="Calibri" w:cs="" w:eastAsia="" w:hAnsi="Calibri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qFormat w:val="1"/>
    <w:rsid w:val="00FC693F"/>
    <w:rPr>
      <w:rFonts w:ascii="Calibri" w:cs="" w:eastAsia="" w:hAnsi="Calibri"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character" w:styleId="IntenseQuoteChar" w:customStyle="1">
    <w:name w:val="Intense Quote Char"/>
    <w:basedOn w:val="DefaultParagraphFont"/>
    <w:link w:val="IntenseQuote"/>
    <w:uiPriority w:val="30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Heading">
    <w:name w:val="Heading"/>
    <w:basedOn w:val="Normal"/>
    <w:next w:val="BodyText"/>
    <w:qFormat w:val="1"/>
    <w:pPr>
      <w:keepNext w:val="1"/>
      <w:spacing w:after="120" w:before="240"/>
    </w:pPr>
    <w:rPr>
      <w:rFonts w:ascii="Liberation Sans" w:cs="Arial" w:eastAsia="Microsoft YaHei" w:hAnsi="Liberation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 w:before="0"/>
    </w:pPr>
    <w:rPr/>
  </w:style>
  <w:style w:type="paragraph" w:styleId="List">
    <w:name w:val="List"/>
    <w:basedOn w:val="Normal"/>
    <w:uiPriority w:val="99"/>
    <w:unhideWhenUsed w:val="1"/>
    <w:rsid w:val="00AA1D8D"/>
    <w:pPr>
      <w:spacing w:after="200" w:before="0"/>
      <w:ind w:left="360" w:hanging="360"/>
      <w:contextualSpacing w:val="1"/>
    </w:pPr>
    <w:rPr/>
  </w:style>
  <w:style w:type="paragraph" w:styleId="Caption">
    <w:name w:val="Caption"/>
    <w:basedOn w:val="Normal"/>
    <w:qFormat w:val="1"/>
    <w:pPr>
      <w:suppressLineNumbers w:val="1"/>
      <w:spacing w:after="120" w:before="120"/>
    </w:pPr>
    <w:rPr>
      <w:rFonts w:cs="Arial"/>
      <w:i w:val="1"/>
      <w:iCs w:val="1"/>
      <w:sz w:val="24"/>
      <w:szCs w:val="24"/>
    </w:rPr>
  </w:style>
  <w:style w:type="paragraph" w:styleId="Index">
    <w:name w:val="Index"/>
    <w:basedOn w:val="Normal"/>
    <w:qFormat w:val="1"/>
    <w:pPr>
      <w:suppressLineNumbers w:val="1"/>
    </w:pPr>
    <w:rPr>
      <w:rFonts w:cs="Arial"/>
    </w:rPr>
  </w:style>
  <w:style w:type="paragraph" w:styleId="HeaderandFooter">
    <w:name w:val="Header and Footer"/>
    <w:basedOn w:val="Normal"/>
    <w:qFormat w:val="1"/>
    <w:pPr/>
    <w:rPr/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lear" w:pos="720"/>
        <w:tab w:val="center" w:leader="none" w:pos="4680"/>
        <w:tab w:val="right" w:leader="none" w:pos="9360"/>
      </w:tabs>
      <w:spacing w:after="0" w:before="0" w:line="240" w:lineRule="auto"/>
    </w:pPr>
    <w:rPr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lear" w:pos="720"/>
        <w:tab w:val="center" w:leader="none" w:pos="4680"/>
        <w:tab w:val="right" w:leader="none" w:pos="9360"/>
      </w:tabs>
      <w:spacing w:after="0" w:before="0" w:line="240" w:lineRule="auto"/>
    </w:pPr>
    <w:rPr/>
  </w:style>
  <w:style w:type="paragraph" w:styleId="NoSpacing">
    <w:name w:val="No Spacing"/>
    <w:uiPriority w:val="1"/>
    <w:qFormat w:val="1"/>
    <w:rsid w:val="00FC693F"/>
    <w:pPr>
      <w:widowControl w:val="1"/>
      <w:suppressAutoHyphens w:val="1"/>
      <w:bidi w:val="0"/>
      <w:spacing w:after="0" w:before="0" w:line="240" w:lineRule="auto"/>
      <w:jc w:val="left"/>
    </w:pPr>
    <w:rPr>
      <w:rFonts w:ascii="Cambria" w:cs="" w:eastAsia="" w:hAnsi="Cambria" w:asciiTheme="minorHAnsi" w:cstheme="minorBidi" w:eastAsiaTheme="minorEastAsia" w:hAnsiTheme="minorHAnsi"/>
      <w:color w:val="auto"/>
      <w:kern w:val="0"/>
      <w:sz w:val="22"/>
      <w:szCs w:val="22"/>
      <w:lang w:bidi="ar-SA" w:eastAsia="en-US" w:val="en-US"/>
    </w:rPr>
  </w:style>
  <w:style w:type="paragraph" w:styleId="ListParagraph">
    <w:name w:val="List Paragraph"/>
    <w:basedOn w:val="Normal"/>
    <w:uiPriority w:val="34"/>
    <w:qFormat w:val="1"/>
    <w:rsid w:val="00FC693F"/>
    <w:pPr>
      <w:spacing w:after="200" w:before="0"/>
      <w:ind w:left="720"/>
      <w:contextualSpacing w:val="1"/>
    </w:pPr>
    <w:rPr/>
  </w:style>
  <w:style w:type="paragraph" w:styleId="BodyText2">
    <w:name w:val="Body Text 2"/>
    <w:basedOn w:val="Normal"/>
    <w:link w:val="BodyText2Char"/>
    <w:uiPriority w:val="99"/>
    <w:unhideWhenUsed w:val="1"/>
    <w:qFormat w:val="1"/>
    <w:rsid w:val="00AA1D8D"/>
    <w:pPr>
      <w:spacing w:after="120" w:before="0" w:line="480" w:lineRule="auto"/>
    </w:pPr>
    <w:rPr/>
  </w:style>
  <w:style w:type="paragraph" w:styleId="BodyText3">
    <w:name w:val="Body Text 3"/>
    <w:basedOn w:val="Normal"/>
    <w:link w:val="BodyText3Char"/>
    <w:uiPriority w:val="99"/>
    <w:unhideWhenUsed w:val="1"/>
    <w:qFormat w:val="1"/>
    <w:rsid w:val="00AA1D8D"/>
    <w:pPr>
      <w:spacing w:after="120" w:before="0"/>
    </w:pPr>
    <w:rPr>
      <w:sz w:val="16"/>
      <w:szCs w:val="16"/>
    </w:rPr>
  </w:style>
  <w:style w:type="paragraph" w:styleId="List2">
    <w:name w:val="List 2"/>
    <w:basedOn w:val="Normal"/>
    <w:uiPriority w:val="99"/>
    <w:unhideWhenUsed w:val="1"/>
    <w:qFormat w:val="1"/>
    <w:rsid w:val="00326F90"/>
    <w:pPr>
      <w:spacing w:after="200" w:before="0"/>
      <w:ind w:left="720" w:hanging="360"/>
      <w:contextualSpacing w:val="1"/>
    </w:pPr>
    <w:rPr/>
  </w:style>
  <w:style w:type="paragraph" w:styleId="List3">
    <w:name w:val="List 3"/>
    <w:basedOn w:val="Normal"/>
    <w:uiPriority w:val="99"/>
    <w:unhideWhenUsed w:val="1"/>
    <w:qFormat w:val="1"/>
    <w:rsid w:val="00326F90"/>
    <w:pPr>
      <w:spacing w:after="200" w:before="0"/>
      <w:ind w:left="1080" w:hanging="360"/>
      <w:contextualSpacing w:val="1"/>
    </w:pPr>
    <w:rPr/>
  </w:style>
  <w:style w:type="paragraph" w:styleId="ListBullet">
    <w:name w:val="List Bullet"/>
    <w:basedOn w:val="Normal"/>
    <w:uiPriority w:val="99"/>
    <w:unhideWhenUsed w:val="1"/>
    <w:rsid w:val="00326F90"/>
    <w:pPr>
      <w:numPr>
        <w:ilvl w:val="0"/>
        <w:numId w:val="1"/>
      </w:numPr>
      <w:spacing w:after="200" w:before="0"/>
      <w:contextualSpacing w:val="1"/>
    </w:pPr>
    <w:rPr/>
  </w:style>
  <w:style w:type="paragraph" w:styleId="ListBullet2">
    <w:name w:val="List Bullet 2"/>
    <w:basedOn w:val="Normal"/>
    <w:uiPriority w:val="99"/>
    <w:unhideWhenUsed w:val="1"/>
    <w:rsid w:val="00326F90"/>
    <w:pPr>
      <w:numPr>
        <w:ilvl w:val="0"/>
        <w:numId w:val="2"/>
      </w:numPr>
      <w:spacing w:after="200" w:before="0"/>
      <w:contextualSpacing w:val="1"/>
    </w:pPr>
    <w:rPr/>
  </w:style>
  <w:style w:type="paragraph" w:styleId="ListBullet3">
    <w:name w:val="List Bullet 3"/>
    <w:basedOn w:val="Normal"/>
    <w:uiPriority w:val="99"/>
    <w:unhideWhenUsed w:val="1"/>
    <w:rsid w:val="00326F90"/>
    <w:pPr>
      <w:numPr>
        <w:ilvl w:val="0"/>
        <w:numId w:val="3"/>
      </w:numPr>
      <w:spacing w:after="200" w:before="0"/>
      <w:contextualSpacing w:val="1"/>
    </w:pPr>
    <w:rPr/>
  </w:style>
  <w:style w:type="paragraph" w:styleId="ListNumber">
    <w:name w:val="List Number"/>
    <w:basedOn w:val="Normal"/>
    <w:uiPriority w:val="99"/>
    <w:unhideWhenUsed w:val="1"/>
    <w:rsid w:val="00326F90"/>
    <w:pPr>
      <w:numPr>
        <w:ilvl w:val="0"/>
        <w:numId w:val="4"/>
      </w:numPr>
      <w:spacing w:after="200" w:before="0"/>
      <w:contextualSpacing w:val="1"/>
    </w:pPr>
    <w:rPr/>
  </w:style>
  <w:style w:type="paragraph" w:styleId="ListNumber2">
    <w:name w:val="List Number 2"/>
    <w:basedOn w:val="Normal"/>
    <w:uiPriority w:val="99"/>
    <w:unhideWhenUsed w:val="1"/>
    <w:rsid w:val="0029639D"/>
    <w:pPr>
      <w:numPr>
        <w:ilvl w:val="0"/>
        <w:numId w:val="5"/>
      </w:numPr>
      <w:spacing w:after="200" w:before="0"/>
      <w:contextualSpacing w:val="1"/>
    </w:pPr>
    <w:rPr/>
  </w:style>
  <w:style w:type="paragraph" w:styleId="ListNumber3">
    <w:name w:val="List Number 3"/>
    <w:basedOn w:val="Normal"/>
    <w:uiPriority w:val="99"/>
    <w:unhideWhenUsed w:val="1"/>
    <w:rsid w:val="0029639D"/>
    <w:pPr>
      <w:numPr>
        <w:ilvl w:val="0"/>
        <w:numId w:val="6"/>
      </w:numPr>
      <w:spacing w:after="200" w:before="0"/>
      <w:contextualSpacing w:val="1"/>
    </w:pPr>
    <w:rPr/>
  </w:style>
  <w:style w:type="paragraph" w:styleId="ListContinue">
    <w:name w:val="List Continue"/>
    <w:basedOn w:val="Normal"/>
    <w:uiPriority w:val="99"/>
    <w:unhideWhenUsed w:val="1"/>
    <w:rsid w:val="0029639D"/>
    <w:pPr>
      <w:spacing w:after="120" w:before="0"/>
      <w:ind w:left="360"/>
      <w:contextualSpacing w:val="1"/>
    </w:pPr>
    <w:rPr/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 w:before="0"/>
      <w:ind w:left="720"/>
      <w:contextualSpacing w:val="1"/>
    </w:pPr>
    <w:rPr/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 w:before="0"/>
      <w:ind w:left="1080"/>
      <w:contextualSpacing w:val="1"/>
    </w:pPr>
    <w:rPr/>
  </w:style>
  <w:style w:type="paragraph" w:styleId="Macro">
    <w:name w:val="macro"/>
    <w:link w:val="MacroTextChar"/>
    <w:uiPriority w:val="99"/>
    <w:unhideWhenUsed w:val="1"/>
    <w:qFormat w:val="1"/>
    <w:rsid w:val="0029639D"/>
    <w:pPr>
      <w:widowControl w:val="1"/>
      <w:tabs>
        <w:tab w:val="clear" w:pos="720"/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uppressAutoHyphens w:val="1"/>
      <w:bidi w:val="0"/>
      <w:spacing w:after="200" w:before="0" w:line="276" w:lineRule="auto"/>
      <w:jc w:val="left"/>
    </w:pPr>
    <w:rPr>
      <w:rFonts w:ascii="Courier" w:cs="" w:eastAsia="" w:hAnsi="Courier" w:cstheme="minorBidi" w:eastAsiaTheme="minorEastAsia"/>
      <w:color w:val="auto"/>
      <w:kern w:val="0"/>
      <w:sz w:val="20"/>
      <w:szCs w:val="20"/>
      <w:lang w:bidi="ar-SA" w:eastAsia="en-US" w:val="en-US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pPr/>
    <w:rPr>
      <w:i w:val="1"/>
      <w:iCs w:val="1"/>
      <w:color w:val="000000" w:themeColor="text1"/>
    </w:rPr>
  </w:style>
  <w:style w:type="paragraph" w:styleId="Caption1">
    <w:name w:val="caption1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  <w:rPr/>
  </w:style>
  <w:style w:type="paragraph" w:styleId="Caption11">
    <w:name w:val="caption11"/>
    <w:basedOn w:val="Normal"/>
    <w:next w:val="Normal"/>
    <w:qFormat w:val="1"/>
    <w:pPr>
      <w:spacing w:line="240" w:lineRule="exact"/>
    </w:pPr>
    <w:rPr>
      <w:b w:val="1"/>
      <w:bCs w:val="1"/>
      <w:color w:val="4f81bd"/>
      <w:sz w:val="18"/>
      <w:szCs w:val="18"/>
    </w:rPr>
  </w:style>
  <w:style w:type="numbering" w:styleId="NoList" w:default="1">
    <w:name w:val="No List"/>
    <w:uiPriority w:val="99"/>
    <w:semiHidden w:val="1"/>
    <w:unhideWhenUsed w:val="1"/>
    <w:qFormat w:val="1"/>
  </w:style>
  <w:style w:type="table" w:styleId="TableNormal" w:default="1">
    <w:name w:val="Normal Table"/>
    <w:uiPriority w:val="99"/>
    <w:semiHidden w:val="1"/>
    <w:unhideWhenUsed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  <w:tblPr/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  <w:tblPr/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  <w:tblPr/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  <w:tblPr/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  <w:tblPr/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  <w:tblPr/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  <w:tblPr/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themeColor="background1"/>
      </w:rPr>
      <w:tblPr/>
      <w:tcPr>
        <w:tcBorders>
          <w:top w:color="404040" w:space="0" w:sz="8" w:themeColor="text1" w:val="single"/>
          <w:left w:color="404040" w:space="0" w:sz="8" w:themeColor="text1" w:val="single"/>
          <w:bottom w:color="404040" w:space="0" w:sz="8" w:themeColor="text1" w:val="single"/>
          <w:right w:color="404040" w:space="0" w:sz="8" w:themeColor="text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val="double"/>
          <w:left w:color="404040" w:space="0" w:sz="8" w:themeColor="text1" w:val="single"/>
          <w:bottom w:color="404040" w:space="0" w:sz="8" w:themeColor="text1" w:val="single"/>
          <w:right w:color="404040" w:space="0" w:sz="8" w:themeColor="text1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themeColor="background1"/>
      </w:rPr>
      <w:tblPr/>
      <w:tcPr>
        <w:tcBorders>
          <w:top w:color="7ba0cd" w:space="0" w:sz="8" w:themeColor="accent1" w:val="single"/>
          <w:left w:color="7ba0cd" w:space="0" w:sz="8" w:themeColor="accent1" w:val="single"/>
          <w:bottom w:color="7ba0cd" w:space="0" w:sz="8" w:themeColor="accent1" w:val="single"/>
          <w:right w:color="7ba0cd" w:space="0" w:sz="8" w:themeColor="accent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val="double"/>
          <w:left w:color="7ba0cd" w:space="0" w:sz="8" w:themeColor="accent1" w:val="single"/>
          <w:bottom w:color="7ba0cd" w:space="0" w:sz="8" w:themeColor="accent1" w:val="single"/>
          <w:right w:color="7ba0cd" w:space="0" w:sz="8" w:themeColor="accent1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themeColor="background1"/>
      </w:rPr>
      <w:tblPr/>
      <w:tcPr>
        <w:tcBorders>
          <w:top w:color="cf7b79" w:space="0" w:sz="8" w:themeColor="accent2" w:val="single"/>
          <w:left w:color="cf7b79" w:space="0" w:sz="8" w:themeColor="accent2" w:val="single"/>
          <w:bottom w:color="cf7b79" w:space="0" w:sz="8" w:themeColor="accent2" w:val="single"/>
          <w:right w:color="cf7b79" w:space="0" w:sz="8" w:themeColor="accent2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val="double"/>
          <w:left w:color="cf7b79" w:space="0" w:sz="8" w:themeColor="accent2" w:val="single"/>
          <w:bottom w:color="cf7b79" w:space="0" w:sz="8" w:themeColor="accent2" w:val="single"/>
          <w:right w:color="cf7b79" w:space="0" w:sz="8" w:themeColor="accent2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themeColor="background1"/>
      </w:rPr>
      <w:tblPr/>
      <w:tcPr>
        <w:tcBorders>
          <w:top w:color="b3cc82" w:space="0" w:sz="8" w:themeColor="accent3" w:val="single"/>
          <w:left w:color="b3cc82" w:space="0" w:sz="8" w:themeColor="accent3" w:val="single"/>
          <w:bottom w:color="b3cc82" w:space="0" w:sz="8" w:themeColor="accent3" w:val="single"/>
          <w:right w:color="b3cc82" w:space="0" w:sz="8" w:themeColor="accent3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val="double"/>
          <w:left w:color="b3cc82" w:space="0" w:sz="8" w:themeColor="accent3" w:val="single"/>
          <w:bottom w:color="b3cc82" w:space="0" w:sz="8" w:themeColor="accent3" w:val="single"/>
          <w:right w:color="b3cc82" w:space="0" w:sz="8" w:themeColor="accent3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themeColor="background1"/>
      </w:rPr>
      <w:tblPr/>
      <w:tcPr>
        <w:tcBorders>
          <w:top w:color="9f8ab9" w:space="0" w:sz="8" w:themeColor="accent4" w:val="single"/>
          <w:left w:color="9f8ab9" w:space="0" w:sz="8" w:themeColor="accent4" w:val="single"/>
          <w:bottom w:color="9f8ab9" w:space="0" w:sz="8" w:themeColor="accent4" w:val="single"/>
          <w:right w:color="9f8ab9" w:space="0" w:sz="8" w:themeColor="accent4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val="double"/>
          <w:left w:color="9f8ab9" w:space="0" w:sz="8" w:themeColor="accent4" w:val="single"/>
          <w:bottom w:color="9f8ab9" w:space="0" w:sz="8" w:themeColor="accent4" w:val="single"/>
          <w:right w:color="9f8ab9" w:space="0" w:sz="8" w:themeColor="accent4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themeColor="background1"/>
      </w:rPr>
      <w:tblPr/>
      <w:tcPr>
        <w:tcBorders>
          <w:top w:color="78c0d4" w:space="0" w:sz="8" w:themeColor="accent5" w:val="single"/>
          <w:left w:color="78c0d4" w:space="0" w:sz="8" w:themeColor="accent5" w:val="single"/>
          <w:bottom w:color="78c0d4" w:space="0" w:sz="8" w:themeColor="accent5" w:val="single"/>
          <w:right w:color="78c0d4" w:space="0" w:sz="8" w:themeColor="accent5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val="double"/>
          <w:left w:color="78c0d4" w:space="0" w:sz="8" w:themeColor="accent5" w:val="single"/>
          <w:bottom w:color="78c0d4" w:space="0" w:sz="8" w:themeColor="accent5" w:val="single"/>
          <w:right w:color="78c0d4" w:space="0" w:sz="8" w:themeColor="accent5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themeColor="background1"/>
      </w:rPr>
      <w:tblPr/>
      <w:tcPr>
        <w:tcBorders>
          <w:top w:color="f9b074" w:space="0" w:sz="8" w:themeColor="accent6" w:val="single"/>
          <w:left w:color="f9b074" w:space="0" w:sz="8" w:themeColor="accent6" w:val="single"/>
          <w:bottom w:color="f9b074" w:space="0" w:sz="8" w:themeColor="accent6" w:val="single"/>
          <w:right w:color="f9b074" w:space="0" w:sz="8" w:themeColor="accent6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val="double"/>
          <w:left w:color="f9b074" w:space="0" w:sz="8" w:themeColor="accent6" w:val="single"/>
          <w:bottom w:color="f9b074" w:space="0" w:sz="8" w:themeColor="accent6" w:val="single"/>
          <w:right w:color="f9b074" w:space="0" w:sz="8" w:themeColor="accent6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  <w:tblPr/>
    </w:tblStylePr>
    <w:tblStylePr w:type="lastRow">
      <w:rPr>
        <w:b w:val="1"/>
        <w:bCs w:val="1"/>
      </w:rPr>
      <w:tblPr/>
      <w:tcPr>
        <w:tcBorders>
          <w:top w:color="404040" w:space="0" w:sz="18" w:themeColor="text1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  <w:tblPr/>
    </w:tblStylePr>
    <w:tblStylePr w:type="lastRow">
      <w:rPr>
        <w:b w:val="1"/>
        <w:bCs w:val="1"/>
      </w:rPr>
      <w:tblPr/>
      <w:tcPr>
        <w:tcBorders>
          <w:top w:color="7ba0cd" w:space="0" w:sz="18" w:themeColor="accent1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  <w:tblPr/>
    </w:tblStylePr>
    <w:tblStylePr w:type="lastRow">
      <w:rPr>
        <w:b w:val="1"/>
        <w:bCs w:val="1"/>
      </w:rPr>
      <w:tblPr/>
      <w:tcPr>
        <w:tcBorders>
          <w:top w:color="cf7b79" w:space="0" w:sz="18" w:themeColor="accent2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  <w:tblPr/>
    </w:tblStylePr>
    <w:tblStylePr w:type="lastRow">
      <w:rPr>
        <w:b w:val="1"/>
        <w:bCs w:val="1"/>
      </w:rPr>
      <w:tblPr/>
      <w:tcPr>
        <w:tcBorders>
          <w:top w:color="b3cc82" w:space="0" w:sz="18" w:themeColor="accent3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  <w:tblPr/>
    </w:tblStylePr>
    <w:tblStylePr w:type="lastRow">
      <w:rPr>
        <w:b w:val="1"/>
        <w:bCs w:val="1"/>
      </w:rPr>
      <w:tblPr/>
      <w:tcPr>
        <w:tcBorders>
          <w:top w:color="9f8ab9" w:space="0" w:sz="18" w:themeColor="accent4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  <w:tblPr/>
    </w:tblStylePr>
    <w:tblStylePr w:type="lastRow">
      <w:rPr>
        <w:b w:val="1"/>
        <w:bCs w:val="1"/>
      </w:rPr>
      <w:tblPr/>
      <w:tcPr>
        <w:tcBorders>
          <w:top w:color="78c0d4" w:space="0" w:sz="18" w:themeColor="accent5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  <w:tblPr/>
    </w:tblStylePr>
    <w:tblStylePr w:type="lastRow">
      <w:rPr>
        <w:b w:val="1"/>
        <w:bCs w:val="1"/>
      </w:rPr>
      <w:tblPr/>
      <w:tcPr>
        <w:tcBorders>
          <w:top w:color="f9b074" w:space="0" w:sz="18" w:themeColor="accent6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color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color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color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color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color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color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color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color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color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color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color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color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color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color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color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color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color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color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color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color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color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color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color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color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color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color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color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color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+BOTicvX7esTw420y/C2MngCOMg==">CgMxLjAyD2lkLjkxMTIwNXVyMmNxZDIOaC4yamI0YWQzNGMzNW0yDGgueHpyN2YycDhqODIOaC5tM3QxOXg2dGduODIyDmguZHc3ZnRhM2s3bGFqOAByITFEbDhfMEhOTmJYTDdhNEVNNk1LaVk4X1FBeVhQU2ExUA==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