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rPr>
          <w:sz w:val="34"/>
          <w:szCs w:val="34"/>
        </w:rPr>
      </w:pPr>
      <w:bookmarkStart w:colFirst="0" w:colLast="0" w:name="_twiotih51ptd" w:id="0"/>
      <w:bookmarkEnd w:id="0"/>
      <w:r w:rsidDel="00000000" w:rsidR="00000000" w:rsidRPr="00000000">
        <w:rPr>
          <w:sz w:val="34"/>
          <w:szCs w:val="34"/>
          <w:rtl w:val="0"/>
        </w:rPr>
        <w:t xml:space="preserve">Dec 2, 2025</w:t>
      </w:r>
      <w:r w:rsidDel="00000000" w:rsidR="00000000" w:rsidRPr="00000000">
        <w:rPr>
          <w:sz w:val="34"/>
          <w:szCs w:val="34"/>
          <w:rtl w:val="0"/>
        </w:rPr>
        <w:t xml:space="preserve"> | Retrospective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agreed that this sprint flowed smoothly with clear task ownership and no major blockers.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 work required significant collaboration and benefited from group review sessions.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preparation for testing improved documentation consistency.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Members suggested continuing the same planning approach for upcoming quality-related tasks.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