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Design Traceability Test – GUIDE </w:t>
      </w:r>
    </w:p>
    <w:p w:rsidR="00000000" w:rsidDel="00000000" w:rsidP="00000000" w:rsidRDefault="00000000" w:rsidRPr="00000000" w14:paraId="0000000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Purpose of the Design Traceability Test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ensures that all the defined requirements are fully supported by the architectural components. Each requirement is mapped to its corresponding design component, module, and verification method.</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Full Requirement-to-Design Traceability Table</w:t>
      </w:r>
    </w:p>
    <w:p w:rsidR="00000000" w:rsidDel="00000000" w:rsidP="00000000" w:rsidRDefault="00000000" w:rsidRPr="00000000" w14:paraId="00000006">
      <w:pPr>
        <w:rPr/>
      </w:pPr>
      <w:r w:rsidDel="00000000" w:rsidR="00000000" w:rsidRPr="00000000">
        <w:rPr>
          <w:rtl w:val="0"/>
        </w:rPr>
      </w:r>
    </w:p>
    <w:tbl>
      <w:tblPr>
        <w:tblStyle w:val="Table1"/>
        <w:tblW w:w="10245.0" w:type="dxa"/>
        <w:jc w:val="left"/>
        <w:tblInd w:w="-4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2910"/>
        <w:gridCol w:w="2595"/>
        <w:gridCol w:w="3600"/>
        <w:tblGridChange w:id="0">
          <w:tblGrid>
            <w:gridCol w:w="1140"/>
            <w:gridCol w:w="2910"/>
            <w:gridCol w:w="2595"/>
            <w:gridCol w:w="3600"/>
          </w:tblGrid>
        </w:tblGridChange>
      </w:tblGrid>
      <w:tr>
        <w:trPr>
          <w:cantSplit w:val="0"/>
          <w:tblHeader w:val="0"/>
        </w:trPr>
        <w:tc>
          <w:tcPr/>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 ID</w:t>
            </w:r>
          </w:p>
        </w:tc>
        <w:tc>
          <w:tcPr/>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Component (SAD)</w:t>
            </w:r>
          </w:p>
        </w:tc>
        <w:tc>
          <w:tcPr/>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 Layer</w:t>
            </w:r>
          </w:p>
        </w:tc>
        <w:tc>
          <w:tcPr/>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Testability Evidence</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FR-H01</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Layer</w:t>
            </w:r>
          </w:p>
        </w:tc>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Preferences Form UI</w:t>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captures all route input fields correctly.</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FR-H02</w:t>
            </w:r>
          </w:p>
        </w:tc>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Generator Module</w:t>
            </w:r>
          </w:p>
        </w:tc>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Engine</w:t>
            </w:r>
          </w:p>
        </w:tc>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verifies multi-day AI-based route generation.</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FR-H03</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Generator Module</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Itinerary Update Logic</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a stop triggers automatic re-optimization.</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FR-H04</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Delivery Module</w:t>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 Metadata Handler</w:t>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 view displays text, images, and map location.</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FR-H05</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Delivery Module</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TTS Playback Module</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TTS playback functions in TR/EN/DE within 2s.</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FR-H06</w:t>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Layer</w:t>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Visualization Module</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shows full route polyline and POI markers.</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FR-H07</w:t>
            </w:r>
          </w:p>
        </w:tc>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Generator Module</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Duration Estimation Logic</w:t>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 include visit-time estimates used in planning.</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FR-H08</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Generator Module</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Re-Optimization Handler</w:t>
            </w:r>
          </w:p>
        </w:tc>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regenerates route after user edits itinerary.</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FR-H09</w:t>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Engine</w:t>
            </w:r>
          </w:p>
        </w:tc>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 Ranking Module</w:t>
            </w:r>
          </w:p>
        </w:tc>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city support validated via dataset queries.</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FR-H10</w:t>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Summary Module</w:t>
            </w:r>
          </w:p>
        </w:tc>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Generator</w:t>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summary shows total distance &amp; time.</w:t>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FR-H11</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Interface</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Web UI</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tests verify browser &amp; resolution compatibility.</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EIR-H01</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Interface</w:t>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Browser-based UI</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Cross-device usability test confirms access via desktop/mobile.</w:t>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EIR-L02</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Renderer</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OSM Tile Integration</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markers loads the POI detail page correctly.</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EIR-L03</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Layer</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OSM/OSRM Client</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calls use OSRM-compatible standardized format.</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EIR-L04</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Frontend-Backend Navigation</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Navigation Flow</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Back-to-map navigation works in 1 action.</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EIR-L05</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Layer</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Validation Logic</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parameters show a clear error message.</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PR-H01</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Server + OSRM</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Runtime / Routing Integration</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generated in &lt;5 seconds under normal load.</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PR-H02</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Architecture</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Stateless Workers + Local Data Store</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test verifies at least 1000 concurrent users.</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PR-L03</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Delivery Module</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TTS Playback System</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playback initiates within 2 seconds.</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PR-L04</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Caching Layer</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Media Cache</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and metadata served instantly without API calls.</w:t>
            </w:r>
          </w:p>
        </w:tc>
      </w:tr>
    </w:tbl>
    <w:p w:rsidR="00000000" w:rsidDel="00000000" w:rsidP="00000000" w:rsidRDefault="00000000" w:rsidRPr="00000000" w14:paraId="0000005B">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Traceability Test Results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requirements are fully mapped to design components and modules defined. No requirement is left without architectural support, and each design component is testable according to the verification methods. This confirms complete requirement-to-design traceability.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UevXmurhVa09WIymY5rYBbJN9g==">CgMxLjA4AHIhMXVUZ2xBUTNaT0hTVGNiSmJnT2M1ZjVxOTZoQzBHbDU5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