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kwfb4kc882b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Test Case Quality Checklist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dpyjcf3a1t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1. Structure &amp; Format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ID follows the required format (e.g., ST-01, IT-02).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 clearly stated and unambiguous.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Pre-conditions listed (datasets, OSRM instance, etc.).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results measurable and reproducible.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2cy1sonujr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2. Requirement Traceability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test links to at least one requirement.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test exists without a requirement.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Critical requirements have multiple test cases.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7rc6rc9z997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 Execution Quality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Steps are unambiguous and follow logical order.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Input data is clearly defined.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 cases included.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Results documented in pass/fail format.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gtlzt5kn91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4. Coverage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Functional, integration, and system-level tests covered.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Negative scenarios included.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tests identified.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Data-dependent behaviors tested.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