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1473835" cy="40767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73835" cy="40767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bookmarkStart w:colFirst="0" w:colLast="0" w:name="bookmark=id.pt571gwdh3h4"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TOBB ETU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Economy &amp; Technology University</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BIL 495 / YAP 495</w:t>
      </w:r>
    </w:p>
    <w:p w:rsidR="00000000" w:rsidDel="00000000" w:rsidP="00000000" w:rsidRDefault="00000000" w:rsidRPr="00000000" w14:paraId="00000005">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Design Description (SDD)</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r w:rsidDel="00000000" w:rsidR="00000000" w:rsidRPr="00000000">
        <w:rPr>
          <w:rFonts w:ascii="Times New Roman" w:cs="Times New Roman" w:eastAsia="Times New Roman" w:hAnsi="Times New Roman"/>
          <w:sz w:val="24"/>
          <w:szCs w:val="24"/>
          <w:rtl w:val="0"/>
        </w:rPr>
        <w:t xml:space="preserve"> IEEE 1016-2009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2"/>
        <w:rPr>
          <w:rFonts w:ascii="Times New Roman" w:cs="Times New Roman" w:eastAsia="Times New Roman" w:hAnsi="Times New Roman"/>
          <w:color w:val="000000"/>
          <w:sz w:val="24"/>
          <w:szCs w:val="24"/>
        </w:rPr>
      </w:pPr>
      <w:bookmarkStart w:colFirst="0" w:colLast="0" w:name="_heading=h.4or95czambsv" w:id="1"/>
      <w:bookmarkEnd w:id="1"/>
      <w:r w:rsidDel="00000000" w:rsidR="00000000" w:rsidRPr="00000000">
        <w:rPr>
          <w:rFonts w:ascii="Times New Roman" w:cs="Times New Roman" w:eastAsia="Times New Roman" w:hAnsi="Times New Roman"/>
          <w:color w:val="000000"/>
          <w:sz w:val="24"/>
          <w:szCs w:val="24"/>
          <w:rtl w:val="0"/>
        </w:rPr>
        <w:t xml:space="preserve">Document Control Table</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rHeight w:val="442.37304687500006" w:hRule="atLeast"/>
          <w:tblHeader w:val="0"/>
        </w:trPr>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Title</w:t>
            </w:r>
          </w:p>
        </w:tc>
        <w:tc>
          <w:tcPr/>
          <w:p w:rsidR="00000000" w:rsidDel="00000000" w:rsidP="00000000" w:rsidRDefault="00000000" w:rsidRPr="00000000" w14:paraId="0000000B">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Design Description (SDD)</w:t>
            </w:r>
          </w:p>
        </w:tc>
      </w:tr>
      <w:tr>
        <w:trPr>
          <w:cantSplit w:val="0"/>
          <w:tblHeader w:val="0"/>
        </w:trPr>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ID</w:t>
            </w:r>
          </w:p>
        </w:tc>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GUIDE-SDD-v1</w:t>
            </w:r>
          </w:p>
        </w:tc>
      </w:tr>
      <w:tr>
        <w:trPr>
          <w:cantSplit w:val="0"/>
          <w:tblHeader w:val="0"/>
        </w:trPr>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 (Author)</w:t>
            </w:r>
          </w:p>
        </w:tc>
        <w:tc>
          <w:tcPr/>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r>
      <w:tr>
        <w:trPr>
          <w:cantSplit w:val="0"/>
          <w:tblHeader w:val="0"/>
        </w:trPr>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By</w:t>
            </w:r>
          </w:p>
        </w:tc>
        <w:tc>
          <w:tcPr/>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r>
      <w:tr>
        <w:trPr>
          <w:cantSplit w:val="0"/>
          <w:tblHeader w:val="0"/>
        </w:trPr>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w:t>
            </w:r>
          </w:p>
        </w:tc>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Preparation Date</w:t>
            </w:r>
          </w:p>
        </w:tc>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16.11.2025</w:t>
            </w:r>
          </w:p>
        </w:tc>
      </w:tr>
      <w:tr>
        <w:trPr>
          <w:cantSplit w:val="0"/>
          <w:tblHeader w:val="0"/>
        </w:trPr>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Date</w:t>
            </w:r>
          </w:p>
        </w:tc>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 Revision</w:t>
            </w:r>
          </w:p>
        </w:tc>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Confidentiality Level</w:t>
            </w:r>
          </w:p>
        </w:tc>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 Restricted / Public</w:t>
            </w:r>
          </w:p>
        </w:tc>
      </w:tr>
      <w:tr>
        <w:trPr>
          <w:cantSplit w:val="0"/>
          <w:tblHeader w:val="0"/>
        </w:trPr>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Standards</w:t>
            </w:r>
          </w:p>
        </w:tc>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15288, IEEE 12207, INCOSE SE Handbook v5</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Heading2"/>
        <w:rPr>
          <w:rFonts w:ascii="Times New Roman" w:cs="Times New Roman" w:eastAsia="Times New Roman" w:hAnsi="Times New Roman"/>
          <w:color w:val="000000"/>
          <w:sz w:val="24"/>
          <w:szCs w:val="24"/>
        </w:rPr>
      </w:pPr>
      <w:bookmarkStart w:colFirst="0" w:colLast="0" w:name="_heading=h.xzr7f2p8j8" w:id="2"/>
      <w:bookmarkEnd w:id="2"/>
      <w:r w:rsidDel="00000000" w:rsidR="00000000" w:rsidRPr="00000000">
        <w:rPr>
          <w:rFonts w:ascii="Times New Roman" w:cs="Times New Roman" w:eastAsia="Times New Roman" w:hAnsi="Times New Roman"/>
          <w:color w:val="000000"/>
          <w:sz w:val="24"/>
          <w:szCs w:val="24"/>
          <w:rtl w:val="0"/>
        </w:rPr>
        <w:t xml:space="preserve">Change Record (Revision History Table)</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w:t>
            </w:r>
          </w:p>
        </w:tc>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w:t>
            </w:r>
          </w:p>
        </w:tc>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Reviewed/Approved By</w:t>
            </w:r>
          </w:p>
        </w:tc>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Change</w:t>
            </w:r>
          </w:p>
        </w:tc>
      </w:tr>
      <w:tr>
        <w:trPr>
          <w:cantSplit w:val="0"/>
          <w:tblHeader w:val="0"/>
        </w:trPr>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w:t>
            </w:r>
          </w:p>
        </w:tc>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(Approver)</w:t>
            </w:r>
          </w:p>
        </w:tc>
        <w:tc>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Release</w:t>
            </w:r>
          </w:p>
        </w:tc>
      </w:tr>
      <w:tr>
        <w:trPr>
          <w:cantSplit w:val="0"/>
          <w:tblHeader w:val="0"/>
        </w:trPr>
        <w:tc>
          <w:tcPr/>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16.11.2025</w:t>
            </w:r>
          </w:p>
        </w:tc>
        <w:tc>
          <w:tcPr/>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c>
          <w:tcPr/>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draft of the SDD document prepared.</w:t>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19.11.2025</w:t>
            </w:r>
          </w:p>
        </w:tc>
        <w:tc>
          <w:tcPr/>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c>
          <w:tcPr/>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draft of the SDD document reviewed.</w:t>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sdt>
      <w:sdtPr>
        <w:id w:val="996391"/>
        <w:docPartObj>
          <w:docPartGallery w:val="Table of Contents"/>
          <w:docPartUnique w:val="1"/>
        </w:docPartObj>
      </w:sdtPr>
      <w:sdtContent>
        <w:p w:rsidR="00000000" w:rsidDel="00000000" w:rsidP="00000000" w:rsidRDefault="00000000" w:rsidRPr="00000000" w14:paraId="00000037">
          <w:pPr>
            <w:widowControl w:val="0"/>
            <w:spacing w:after="0"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heading=">
            <w:r w:rsidDel="00000000" w:rsidR="00000000" w:rsidRPr="00000000">
              <w:rPr>
                <w:b w:val="0"/>
                <w:bCs w:val="0"/>
                <w:color w:val="1155cc"/>
                <w:u w:val="single"/>
                <w:rtl w:val="0"/>
              </w:rPr>
              <w:t xml:space="preserve">1. Introduction</w:t>
            </w:r>
          </w:hyperlink>
          <w:r w:rsidDel="00000000" w:rsidR="00000000" w:rsidRPr="00000000">
            <w:rPr>
              <w:rtl w:val="0"/>
            </w:rPr>
          </w:r>
        </w:p>
        <w:p w:rsidR="00000000" w:rsidDel="00000000" w:rsidP="00000000" w:rsidRDefault="00000000" w:rsidRPr="00000000" w14:paraId="00000038">
          <w:pPr>
            <w:widowControl w:val="0"/>
            <w:spacing w:after="0" w:before="60" w:line="240" w:lineRule="auto"/>
            <w:rPr>
              <w:b w:val="0"/>
              <w:bCs w:val="0"/>
              <w:color w:val="1155cc"/>
              <w:u w:val="single"/>
            </w:rPr>
          </w:pPr>
          <w:hyperlink w:anchor="_heading=">
            <w:r w:rsidDel="00000000" w:rsidR="00000000" w:rsidRPr="00000000">
              <w:rPr>
                <w:b w:val="0"/>
                <w:bCs w:val="0"/>
                <w:color w:val="1155cc"/>
                <w:u w:val="single"/>
                <w:rtl w:val="0"/>
              </w:rPr>
              <w:t xml:space="preserve">1.1 Purpose</w:t>
            </w:r>
          </w:hyperlink>
          <w:r w:rsidDel="00000000" w:rsidR="00000000" w:rsidRPr="00000000">
            <w:rPr>
              <w:rtl w:val="0"/>
            </w:rPr>
          </w:r>
        </w:p>
        <w:p w:rsidR="00000000" w:rsidDel="00000000" w:rsidP="00000000" w:rsidRDefault="00000000" w:rsidRPr="00000000" w14:paraId="00000039">
          <w:pPr>
            <w:widowControl w:val="0"/>
            <w:spacing w:after="0" w:before="60" w:line="240" w:lineRule="auto"/>
            <w:rPr>
              <w:b w:val="0"/>
              <w:bCs w:val="0"/>
              <w:color w:val="1155cc"/>
              <w:u w:val="single"/>
            </w:rPr>
          </w:pPr>
          <w:hyperlink w:anchor="_heading=">
            <w:r w:rsidDel="00000000" w:rsidR="00000000" w:rsidRPr="00000000">
              <w:rPr>
                <w:b w:val="0"/>
                <w:bCs w:val="0"/>
                <w:color w:val="1155cc"/>
                <w:u w:val="single"/>
                <w:rtl w:val="0"/>
              </w:rPr>
              <w:t xml:space="preserve">1.2 Scope</w:t>
            </w:r>
          </w:hyperlink>
          <w:r w:rsidDel="00000000" w:rsidR="00000000" w:rsidRPr="00000000">
            <w:rPr>
              <w:rtl w:val="0"/>
            </w:rPr>
          </w:r>
        </w:p>
        <w:p w:rsidR="00000000" w:rsidDel="00000000" w:rsidP="00000000" w:rsidRDefault="00000000" w:rsidRPr="00000000" w14:paraId="0000003A">
          <w:pPr>
            <w:widowControl w:val="0"/>
            <w:spacing w:after="0" w:before="60" w:line="240" w:lineRule="auto"/>
            <w:rPr>
              <w:b w:val="0"/>
              <w:bCs w:val="0"/>
              <w:color w:val="1155cc"/>
              <w:u w:val="single"/>
            </w:rPr>
          </w:pPr>
          <w:hyperlink w:anchor="_heading=">
            <w:r w:rsidDel="00000000" w:rsidR="00000000" w:rsidRPr="00000000">
              <w:rPr>
                <w:b w:val="0"/>
                <w:bCs w:val="0"/>
                <w:color w:val="1155cc"/>
                <w:u w:val="single"/>
                <w:rtl w:val="0"/>
              </w:rPr>
              <w:t xml:space="preserve">1.3 References</w:t>
            </w:r>
          </w:hyperlink>
          <w:r w:rsidDel="00000000" w:rsidR="00000000" w:rsidRPr="00000000">
            <w:rPr>
              <w:rtl w:val="0"/>
            </w:rPr>
          </w:r>
        </w:p>
        <w:p w:rsidR="00000000" w:rsidDel="00000000" w:rsidP="00000000" w:rsidRDefault="00000000" w:rsidRPr="00000000" w14:paraId="0000003B">
          <w:pPr>
            <w:widowControl w:val="0"/>
            <w:spacing w:after="0" w:before="60" w:line="240" w:lineRule="auto"/>
            <w:rPr>
              <w:b w:val="0"/>
              <w:bCs w:val="0"/>
              <w:color w:val="1155cc"/>
              <w:u w:val="single"/>
            </w:rPr>
          </w:pPr>
          <w:hyperlink w:anchor="_heading=">
            <w:r w:rsidDel="00000000" w:rsidR="00000000" w:rsidRPr="00000000">
              <w:rPr>
                <w:b w:val="0"/>
                <w:bCs w:val="0"/>
                <w:color w:val="1155cc"/>
                <w:u w:val="single"/>
                <w:rtl w:val="0"/>
              </w:rPr>
              <w:t xml:space="preserve">2. System Overview</w:t>
            </w:r>
          </w:hyperlink>
          <w:r w:rsidDel="00000000" w:rsidR="00000000" w:rsidRPr="00000000">
            <w:rPr>
              <w:rtl w:val="0"/>
            </w:rPr>
          </w:r>
        </w:p>
        <w:p w:rsidR="00000000" w:rsidDel="00000000" w:rsidP="00000000" w:rsidRDefault="00000000" w:rsidRPr="00000000" w14:paraId="0000003C">
          <w:pPr>
            <w:widowControl w:val="0"/>
            <w:spacing w:after="0" w:before="60" w:line="240" w:lineRule="auto"/>
            <w:rPr>
              <w:b w:val="0"/>
              <w:bCs w:val="0"/>
              <w:color w:val="1155cc"/>
              <w:u w:val="single"/>
            </w:rPr>
          </w:pPr>
          <w:hyperlink w:anchor="_heading=">
            <w:r w:rsidDel="00000000" w:rsidR="00000000" w:rsidRPr="00000000">
              <w:rPr>
                <w:b w:val="0"/>
                <w:bCs w:val="0"/>
                <w:color w:val="1155cc"/>
                <w:u w:val="single"/>
                <w:rtl w:val="0"/>
              </w:rPr>
              <w:t xml:space="preserve">2.1 System Architecture</w:t>
            </w:r>
          </w:hyperlink>
          <w:r w:rsidDel="00000000" w:rsidR="00000000" w:rsidRPr="00000000">
            <w:rPr>
              <w:rtl w:val="0"/>
            </w:rPr>
          </w:r>
        </w:p>
        <w:p w:rsidR="00000000" w:rsidDel="00000000" w:rsidP="00000000" w:rsidRDefault="00000000" w:rsidRPr="00000000" w14:paraId="0000003D">
          <w:pPr>
            <w:widowControl w:val="0"/>
            <w:spacing w:after="0" w:before="60" w:line="240" w:lineRule="auto"/>
            <w:rPr>
              <w:b w:val="0"/>
              <w:bCs w:val="0"/>
              <w:color w:val="1155cc"/>
              <w:u w:val="single"/>
            </w:rPr>
          </w:pPr>
          <w:hyperlink w:anchor="_heading=">
            <w:r w:rsidDel="00000000" w:rsidR="00000000" w:rsidRPr="00000000">
              <w:rPr>
                <w:b w:val="0"/>
                <w:bCs w:val="0"/>
                <w:color w:val="1155cc"/>
                <w:u w:val="single"/>
                <w:rtl w:val="0"/>
              </w:rPr>
              <w:t xml:space="preserve">2.2 Design Rationale</w:t>
            </w:r>
          </w:hyperlink>
          <w:r w:rsidDel="00000000" w:rsidR="00000000" w:rsidRPr="00000000">
            <w:rPr>
              <w:rtl w:val="0"/>
            </w:rPr>
          </w:r>
        </w:p>
        <w:p w:rsidR="00000000" w:rsidDel="00000000" w:rsidP="00000000" w:rsidRDefault="00000000" w:rsidRPr="00000000" w14:paraId="0000003E">
          <w:pPr>
            <w:widowControl w:val="0"/>
            <w:spacing w:after="0" w:before="60" w:line="240" w:lineRule="auto"/>
            <w:rPr>
              <w:b w:val="0"/>
              <w:bCs w:val="0"/>
              <w:color w:val="1155cc"/>
              <w:u w:val="single"/>
            </w:rPr>
          </w:pPr>
          <w:hyperlink w:anchor="_heading=">
            <w:r w:rsidDel="00000000" w:rsidR="00000000" w:rsidRPr="00000000">
              <w:rPr>
                <w:b w:val="0"/>
                <w:bCs w:val="0"/>
                <w:color w:val="1155cc"/>
                <w:u w:val="single"/>
                <w:rtl w:val="0"/>
              </w:rPr>
              <w:t xml:space="preserve">3. Detailed Design</w:t>
            </w:r>
          </w:hyperlink>
          <w:r w:rsidDel="00000000" w:rsidR="00000000" w:rsidRPr="00000000">
            <w:rPr>
              <w:rtl w:val="0"/>
            </w:rPr>
          </w:r>
        </w:p>
        <w:p w:rsidR="00000000" w:rsidDel="00000000" w:rsidP="00000000" w:rsidRDefault="00000000" w:rsidRPr="00000000" w14:paraId="0000003F">
          <w:pPr>
            <w:widowControl w:val="0"/>
            <w:spacing w:after="0" w:before="60" w:line="240" w:lineRule="auto"/>
            <w:rPr>
              <w:b w:val="0"/>
              <w:bCs w:val="0"/>
              <w:color w:val="1155cc"/>
              <w:u w:val="single"/>
            </w:rPr>
          </w:pPr>
          <w:hyperlink w:anchor="_heading=">
            <w:r w:rsidDel="00000000" w:rsidR="00000000" w:rsidRPr="00000000">
              <w:rPr>
                <w:b w:val="0"/>
                <w:bCs w:val="0"/>
                <w:color w:val="1155cc"/>
                <w:u w:val="single"/>
                <w:rtl w:val="0"/>
              </w:rPr>
              <w:t xml:space="preserve">3.1 Component Descriptions</w:t>
            </w:r>
          </w:hyperlink>
          <w:r w:rsidDel="00000000" w:rsidR="00000000" w:rsidRPr="00000000">
            <w:rPr>
              <w:rtl w:val="0"/>
            </w:rPr>
          </w:r>
        </w:p>
        <w:p w:rsidR="00000000" w:rsidDel="00000000" w:rsidP="00000000" w:rsidRDefault="00000000" w:rsidRPr="00000000" w14:paraId="00000040">
          <w:pPr>
            <w:widowControl w:val="0"/>
            <w:spacing w:after="0" w:before="60" w:line="240" w:lineRule="auto"/>
            <w:rPr>
              <w:b w:val="0"/>
              <w:bCs w:val="0"/>
              <w:color w:val="1155cc"/>
              <w:u w:val="single"/>
            </w:rPr>
          </w:pPr>
          <w:hyperlink w:anchor="_heading=">
            <w:r w:rsidDel="00000000" w:rsidR="00000000" w:rsidRPr="00000000">
              <w:rPr>
                <w:b w:val="0"/>
                <w:bCs w:val="0"/>
                <w:color w:val="1155cc"/>
                <w:u w:val="single"/>
                <w:rtl w:val="0"/>
              </w:rPr>
              <w:t xml:space="preserve">3.2 Interface Descriptions</w:t>
            </w:r>
          </w:hyperlink>
          <w:r w:rsidDel="00000000" w:rsidR="00000000" w:rsidRPr="00000000">
            <w:rPr>
              <w:rtl w:val="0"/>
            </w:rPr>
          </w:r>
        </w:p>
        <w:p w:rsidR="00000000" w:rsidDel="00000000" w:rsidP="00000000" w:rsidRDefault="00000000" w:rsidRPr="00000000" w14:paraId="00000041">
          <w:pPr>
            <w:widowControl w:val="0"/>
            <w:spacing w:after="0" w:before="60" w:line="240" w:lineRule="auto"/>
            <w:rPr>
              <w:b w:val="0"/>
              <w:bCs w:val="0"/>
              <w:color w:val="1155cc"/>
              <w:u w:val="single"/>
            </w:rPr>
          </w:pPr>
          <w:hyperlink w:anchor="_heading=">
            <w:r w:rsidDel="00000000" w:rsidR="00000000" w:rsidRPr="00000000">
              <w:rPr>
                <w:b w:val="0"/>
                <w:bCs w:val="0"/>
                <w:color w:val="1155cc"/>
                <w:u w:val="single"/>
                <w:rtl w:val="0"/>
              </w:rPr>
              <w:t xml:space="preserve">3.3 Data Design</w:t>
            </w:r>
          </w:hyperlink>
          <w:r w:rsidDel="00000000" w:rsidR="00000000" w:rsidRPr="00000000">
            <w:rPr>
              <w:rtl w:val="0"/>
            </w:rPr>
          </w:r>
        </w:p>
        <w:p w:rsidR="00000000" w:rsidDel="00000000" w:rsidP="00000000" w:rsidRDefault="00000000" w:rsidRPr="00000000" w14:paraId="00000042">
          <w:pPr>
            <w:widowControl w:val="0"/>
            <w:spacing w:after="0" w:before="60" w:line="240" w:lineRule="auto"/>
            <w:rPr>
              <w:b w:val="0"/>
              <w:bCs w:val="0"/>
              <w:color w:val="1155cc"/>
              <w:u w:val="single"/>
            </w:rPr>
          </w:pPr>
          <w:hyperlink w:anchor="_heading=">
            <w:r w:rsidDel="00000000" w:rsidR="00000000" w:rsidRPr="00000000">
              <w:rPr>
                <w:b w:val="0"/>
                <w:bCs w:val="0"/>
                <w:color w:val="1155cc"/>
                <w:u w:val="single"/>
                <w:rtl w:val="0"/>
              </w:rPr>
              <w:t xml:space="preserve">3.4 Algorithm Design</w:t>
            </w:r>
          </w:hyperlink>
          <w:r w:rsidDel="00000000" w:rsidR="00000000" w:rsidRPr="00000000">
            <w:rPr>
              <w:rtl w:val="0"/>
            </w:rPr>
          </w:r>
        </w:p>
        <w:p w:rsidR="00000000" w:rsidDel="00000000" w:rsidP="00000000" w:rsidRDefault="00000000" w:rsidRPr="00000000" w14:paraId="00000043">
          <w:pPr>
            <w:widowControl w:val="0"/>
            <w:spacing w:after="0" w:before="60" w:line="240" w:lineRule="auto"/>
            <w:rPr>
              <w:b w:val="0"/>
              <w:bCs w:val="0"/>
              <w:color w:val="1155cc"/>
              <w:u w:val="single"/>
            </w:rPr>
          </w:pPr>
          <w:hyperlink w:anchor="_heading=">
            <w:r w:rsidDel="00000000" w:rsidR="00000000" w:rsidRPr="00000000">
              <w:rPr>
                <w:b w:val="0"/>
                <w:bCs w:val="0"/>
                <w:color w:val="1155cc"/>
                <w:u w:val="single"/>
                <w:rtl w:val="0"/>
              </w:rPr>
              <w:t xml:space="preserve">4. Traceability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sectPr>
          <w:pgSz w:h="15840" w:w="12240" w:orient="portrait"/>
          <w:pgMar w:bottom="1440" w:top="1440" w:left="1800" w:right="1800" w:header="0" w:footer="0"/>
          <w:pgNumType w:start="1"/>
        </w:sectPr>
      </w:pPr>
      <w:r w:rsidDel="00000000" w:rsidR="00000000" w:rsidRPr="00000000">
        <w:rPr>
          <w:rtl w:val="0"/>
        </w:rPr>
      </w:r>
    </w:p>
    <w:p w:rsidR="00000000" w:rsidDel="00000000" w:rsidP="00000000" w:rsidRDefault="00000000" w:rsidRPr="00000000" w14:paraId="00000046">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Introduction</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Design Document (SDD) describes the architectural and detailed design decisions of the GUIDE system and explains how the system’s requirements will be transformed into a technical solution. This document serves as a bridge between the requirements defined in the SRS and the implementation will be carried out by the development team. It presents the system’s structural organization, component responsibilities, interaction mechanisms, data design, and interface specifications in a clear and traceable manner. The purpose of the SDD is to ensure that every major design decision is documented, justified, and aligned with the project scope, constraints, and quality goals. </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Purpose</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Software Design Document (SDD) is to explain how the GUIDE system will be designed and how its main parts will work together during implementation. While the SRS focuses on what the system should do, this document focuses on how the system will do it. The SDD describes the system’s architecture, main components, data structures, and the interactions between them in a way that the development team can easily follow. The document is meant to guide us while coding, help us keep the design consistent, and make sure that every part of the system matches the requirements defined earlier. It also provides a clear reference for anyone who reviews the project and wants to understand the reasoning behind the design choices.</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 Scope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Software Design Document (SDD) covers the architectural and detailed design aspects of the GUIDE system. The scope includes the description of all major subsystems and modules that make up the application, such as the backend service layer, frontend interface, database design, and integration components. More specifically, the document explains the structure and responsibilities of modules like the Routing &amp; Optimization Module, POI Data Management Module, TTS Integration Module, User Interaction Layer, API Gateway, and the system’s internal data flow.</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this, the SDD also outlines: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these components communicate with each other,</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design constraints that shape their behavior, and</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diagrams and models used to illustrate their interactions.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SDD does not include implementation-level details such as </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code listings</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deployment scripts</w:t>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sprint-specific development tasks.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Instead, it focuses on providing a consistent and traceable design blueprint that guides the development team throughout the implementation phase and ensures alignment with the requirements defined in the SRS.</w:t>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 References</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Standards and Specifications</w:t>
      </w:r>
    </w:p>
    <w:p w:rsidR="00000000" w:rsidDel="00000000" w:rsidP="00000000" w:rsidRDefault="00000000" w:rsidRPr="00000000" w14:paraId="0000005A">
      <w:pPr>
        <w:numPr>
          <w:ilvl w:val="0"/>
          <w:numId w:val="7"/>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IEEE Std 1016-2009 — Software Design Descriptions [1]</w:t>
      </w:r>
    </w:p>
    <w:p w:rsidR="00000000" w:rsidDel="00000000" w:rsidP="00000000" w:rsidRDefault="00000000" w:rsidRPr="00000000" w14:paraId="0000005B">
      <w:pPr>
        <w:numPr>
          <w:ilvl w:val="0"/>
          <w:numId w:val="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IEEE Std 830-1998 — Software Requirements Specifications [2]</w:t>
      </w:r>
    </w:p>
    <w:p w:rsidR="00000000" w:rsidDel="00000000" w:rsidP="00000000" w:rsidRDefault="00000000" w:rsidRPr="00000000" w14:paraId="0000005C">
      <w:pPr>
        <w:numPr>
          <w:ilvl w:val="0"/>
          <w:numId w:val="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ISO/IEC 25010:2011 — Software Quality Requirements and Evaluation (SQuaRE) [3]</w:t>
      </w:r>
    </w:p>
    <w:p w:rsidR="00000000" w:rsidDel="00000000" w:rsidP="00000000" w:rsidRDefault="00000000" w:rsidRPr="00000000" w14:paraId="0000005D">
      <w:pPr>
        <w:numPr>
          <w:ilvl w:val="0"/>
          <w:numId w:val="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ISO/IEC/IEEE 29148:2018 — Requirements Engineering [4]</w:t>
      </w:r>
    </w:p>
    <w:p w:rsidR="00000000" w:rsidDel="00000000" w:rsidP="00000000" w:rsidRDefault="00000000" w:rsidRPr="00000000" w14:paraId="0000005E">
      <w:pPr>
        <w:numPr>
          <w:ilvl w:val="0"/>
          <w:numId w:val="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UML 2.5 (ISO/IEC 19505) — Unified Modeling Language [5]</w:t>
      </w:r>
    </w:p>
    <w:p w:rsidR="00000000" w:rsidDel="00000000" w:rsidP="00000000" w:rsidRDefault="00000000" w:rsidRPr="00000000" w14:paraId="0000005F">
      <w:pPr>
        <w:numPr>
          <w:ilvl w:val="0"/>
          <w:numId w:val="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RFC 7231 — HTTP/1.1 Semantics and Content [6]</w:t>
      </w:r>
    </w:p>
    <w:p w:rsidR="00000000" w:rsidDel="00000000" w:rsidP="00000000" w:rsidRDefault="00000000" w:rsidRPr="00000000" w14:paraId="00000060">
      <w:pPr>
        <w:numPr>
          <w:ilvl w:val="0"/>
          <w:numId w:val="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RFC 6749 — OAuth 2.0 Authorization Framework [7]</w:t>
      </w:r>
    </w:p>
    <w:p w:rsidR="00000000" w:rsidDel="00000000" w:rsidP="00000000" w:rsidRDefault="00000000" w:rsidRPr="00000000" w14:paraId="00000061">
      <w:pPr>
        <w:numPr>
          <w:ilvl w:val="0"/>
          <w:numId w:val="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RFC 8446 — TLS 1.3 [8]</w:t>
      </w:r>
    </w:p>
    <w:p w:rsidR="00000000" w:rsidDel="00000000" w:rsidP="00000000" w:rsidRDefault="00000000" w:rsidRPr="00000000" w14:paraId="00000062">
      <w:pPr>
        <w:numPr>
          <w:ilvl w:val="0"/>
          <w:numId w:val="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OGC Web Map Service (WMS) Specification [9]</w:t>
      </w:r>
    </w:p>
    <w:p w:rsidR="00000000" w:rsidDel="00000000" w:rsidP="00000000" w:rsidRDefault="00000000" w:rsidRPr="00000000" w14:paraId="00000063">
      <w:pPr>
        <w:numPr>
          <w:ilvl w:val="0"/>
          <w:numId w:val="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OGC Web Feature Service (WFS) Specification [10]</w:t>
      </w:r>
    </w:p>
    <w:p w:rsidR="00000000" w:rsidDel="00000000" w:rsidP="00000000" w:rsidRDefault="00000000" w:rsidRPr="00000000" w14:paraId="00000064">
      <w:pPr>
        <w:numPr>
          <w:ilvl w:val="0"/>
          <w:numId w:val="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ISO 8601:2019 — Date and Time Standard [11]</w:t>
      </w:r>
    </w:p>
    <w:p w:rsidR="00000000" w:rsidDel="00000000" w:rsidP="00000000" w:rsidRDefault="00000000" w:rsidRPr="00000000" w14:paraId="00000065">
      <w:pPr>
        <w:numPr>
          <w:ilvl w:val="0"/>
          <w:numId w:val="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WGS84 — World Geodetic System [12]</w:t>
      </w:r>
    </w:p>
    <w:p w:rsidR="00000000" w:rsidDel="00000000" w:rsidP="00000000" w:rsidRDefault="00000000" w:rsidRPr="00000000" w14:paraId="00000066">
      <w:pPr>
        <w:numPr>
          <w:ilvl w:val="0"/>
          <w:numId w:val="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WCAG 2.1 — Web Content Accessibility Guidelines [13]</w:t>
      </w:r>
    </w:p>
    <w:p w:rsidR="00000000" w:rsidDel="00000000" w:rsidP="00000000" w:rsidRDefault="00000000" w:rsidRPr="00000000" w14:paraId="00000067">
      <w:pPr>
        <w:numPr>
          <w:ilvl w:val="0"/>
          <w:numId w:val="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HTML Living Standard (WHATWG) [14]</w:t>
      </w:r>
    </w:p>
    <w:p w:rsidR="00000000" w:rsidDel="00000000" w:rsidP="00000000" w:rsidRDefault="00000000" w:rsidRPr="00000000" w14:paraId="00000068">
      <w:pPr>
        <w:numPr>
          <w:ilvl w:val="0"/>
          <w:numId w:val="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CSS3 Specification (W3C) [15]</w:t>
      </w:r>
    </w:p>
    <w:p w:rsidR="00000000" w:rsidDel="00000000" w:rsidP="00000000" w:rsidRDefault="00000000" w:rsidRPr="00000000" w14:paraId="00000069">
      <w:pPr>
        <w:numPr>
          <w:ilvl w:val="0"/>
          <w:numId w:val="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OWASP Top Ten 2021 — Web Security Risks [16]</w:t>
      </w:r>
    </w:p>
    <w:p w:rsidR="00000000" w:rsidDel="00000000" w:rsidP="00000000" w:rsidRDefault="00000000" w:rsidRPr="00000000" w14:paraId="0000006A">
      <w:pPr>
        <w:numPr>
          <w:ilvl w:val="0"/>
          <w:numId w:val="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KVKK — Turkish Personal Data Protection Law [17]</w:t>
      </w:r>
    </w:p>
    <w:p w:rsidR="00000000" w:rsidDel="00000000" w:rsidP="00000000" w:rsidRDefault="00000000" w:rsidRPr="00000000" w14:paraId="0000006B">
      <w:pPr>
        <w:numPr>
          <w:ilvl w:val="0"/>
          <w:numId w:val="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GDPR — General Data Protection Regulation [18]</w:t>
      </w:r>
    </w:p>
    <w:p w:rsidR="00000000" w:rsidDel="00000000" w:rsidP="00000000" w:rsidRDefault="00000000" w:rsidRPr="00000000" w14:paraId="0000006C">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Std 829-2008 — Test Documentation [19]</w:t>
      </w:r>
    </w:p>
    <w:p w:rsidR="00000000" w:rsidDel="00000000" w:rsidP="00000000" w:rsidRDefault="00000000" w:rsidRPr="00000000" w14:paraId="0000006D">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25000:2014 — SQuaRE Quality Framework [20]</w:t>
      </w:r>
    </w:p>
    <w:p w:rsidR="00000000" w:rsidDel="00000000" w:rsidP="00000000" w:rsidRDefault="00000000" w:rsidRPr="00000000" w14:paraId="0000006E">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Std 1063-2001 — Software User Documentation [21]</w:t>
      </w:r>
    </w:p>
    <w:p w:rsidR="00000000" w:rsidDel="00000000" w:rsidP="00000000" w:rsidRDefault="00000000" w:rsidRPr="00000000" w14:paraId="0000006F">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Versioning 2.0.0 [22]</w:t>
      </w:r>
    </w:p>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External APIs and Services</w:t>
      </w:r>
    </w:p>
    <w:p w:rsidR="00000000" w:rsidDel="00000000" w:rsidP="00000000" w:rsidRDefault="00000000" w:rsidRPr="00000000" w14:paraId="00000071">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OpenStreetMap API v0.6 [23]</w:t>
      </w:r>
    </w:p>
    <w:p w:rsidR="00000000" w:rsidDel="00000000" w:rsidP="00000000" w:rsidRDefault="00000000" w:rsidRPr="00000000" w14:paraId="00000072">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Database License (ODbL) [24]</w:t>
      </w:r>
    </w:p>
    <w:p w:rsidR="00000000" w:rsidDel="00000000" w:rsidP="00000000" w:rsidRDefault="00000000" w:rsidRPr="00000000" w14:paraId="00000073">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OSRM Routing Machine API [25]</w:t>
      </w:r>
    </w:p>
    <w:p w:rsidR="00000000" w:rsidDel="00000000" w:rsidP="00000000" w:rsidRDefault="00000000" w:rsidRPr="00000000" w14:paraId="0000007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MediaWiki / Wikipedia REST API [26]</w:t>
      </w:r>
    </w:p>
    <w:p w:rsidR="00000000" w:rsidDel="00000000" w:rsidP="00000000" w:rsidRDefault="00000000" w:rsidRPr="00000000" w14:paraId="0000007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Flickr API [27]</w:t>
      </w:r>
    </w:p>
    <w:p w:rsidR="00000000" w:rsidDel="00000000" w:rsidP="00000000" w:rsidRDefault="00000000" w:rsidRPr="00000000" w14:paraId="0000007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Pixabay API [28]</w:t>
      </w:r>
    </w:p>
    <w:p w:rsidR="00000000" w:rsidDel="00000000" w:rsidP="00000000" w:rsidRDefault="00000000" w:rsidRPr="00000000" w14:paraId="00000077">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ElevenLabs TTS API [29]</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Development Tools and Frameworks</w:t>
      </w:r>
    </w:p>
    <w:p w:rsidR="00000000" w:rsidDel="00000000" w:rsidP="00000000" w:rsidRDefault="00000000" w:rsidRPr="00000000" w14:paraId="00000079">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3.12 Documentation [30]</w:t>
      </w:r>
    </w:p>
    <w:p w:rsidR="00000000" w:rsidDel="00000000" w:rsidP="00000000" w:rsidRDefault="00000000" w:rsidRPr="00000000" w14:paraId="0000007A">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 Framework Documentation [31]</w:t>
      </w:r>
    </w:p>
    <w:p w:rsidR="00000000" w:rsidDel="00000000" w:rsidP="00000000" w:rsidRDefault="00000000" w:rsidRPr="00000000" w14:paraId="0000007B">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 Git (Git workflow reference) [32]</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Project Documentation</w:t>
      </w:r>
    </w:p>
    <w:p w:rsidR="00000000" w:rsidDel="00000000" w:rsidP="00000000" w:rsidRDefault="00000000" w:rsidRPr="00000000" w14:paraId="0000007D">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Software Requirements Specification (SRS) [33]</w:t>
      </w:r>
    </w:p>
    <w:p w:rsidR="00000000" w:rsidDel="00000000" w:rsidP="00000000" w:rsidRDefault="00000000" w:rsidRPr="00000000" w14:paraId="0000007E">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Project Management Plan (PMP) [34]</w:t>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System Architecture Document (SAD) [35]</w:t>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Proposal Document (proposal_v2) [36]</w:t>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System Overview</w:t>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GUIDE system is designed as a web-based travel planning and guidance platform that brings together several core modules such as route generation, POI information retrieval, TTS-based audio guidance, and interactive map visualization. The overall architecture follows a modular structure where the frontend, backend, database layer, and external API integrations work together through well-defined interfaces. At a high level, the system allows users to enter travel preferences, generates optimized multi-day routes, fetches relevant destination information, and displays all results through an interactive and accessible interface. Each subsystem—such as the Routing &amp; Optimization Module, POI Data Management Module, and TTS Integration Module—performs its own specific responsibilities but remains connected through a consistent API design. </w:t>
      </w:r>
    </w:p>
    <w:p w:rsidR="00000000" w:rsidDel="00000000" w:rsidP="00000000" w:rsidRDefault="00000000" w:rsidRPr="00000000" w14:paraId="00000084">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System Architecture</w:t>
      </w:r>
    </w:p>
    <w:p w:rsidR="00000000" w:rsidDel="00000000" w:rsidP="00000000" w:rsidRDefault="00000000" w:rsidRPr="00000000" w14:paraId="00000085">
      <w:pPr>
        <w:spacing w:after="240" w:before="240" w:lineRule="auto"/>
        <w:rPr/>
      </w:pPr>
      <w:r w:rsidDel="00000000" w:rsidR="00000000" w:rsidRPr="00000000">
        <w:rPr>
          <w:rtl w:val="0"/>
        </w:rPr>
        <w:t xml:space="preserve">The overall architecture of the GUIDE system is built around a simple but organized structure where the frontend, backend, and routing/data layers work together to generate personalized travel routes. Detailed architecture presented in SAD (Software Architecture Document). The idea was to design the system in a way that keeps each part separate enough to work independently, but still connected through clear interfaces. This helps us manage the project more easily and also makes the system more maintainable as it grows.</w:t>
      </w:r>
    </w:p>
    <w:p w:rsidR="00000000" w:rsidDel="00000000" w:rsidP="00000000" w:rsidRDefault="00000000" w:rsidRPr="00000000" w14:paraId="00000086">
      <w:pPr>
        <w:spacing w:after="240" w:before="240" w:lineRule="auto"/>
        <w:rPr/>
      </w:pPr>
      <w:r w:rsidDel="00000000" w:rsidR="00000000" w:rsidRPr="00000000">
        <w:rPr>
          <w:rtl w:val="0"/>
        </w:rPr>
        <w:t xml:space="preserve">In Figure below (System Context Diagram), we show the general environment in which GUIDE operates. Users interact with the system through a web browser, and the backend communicates with several external services such as OSRM for routing and OSM for map. Wikipedia, Flickr, and Pixabay do not appear in the diagram , since their data is pre-fetched and stored locally, they play more of a “supporting role” during development rather than in real-time.</w:t>
      </w:r>
    </w:p>
    <w:p w:rsidR="00000000" w:rsidDel="00000000" w:rsidP="00000000" w:rsidRDefault="00000000" w:rsidRPr="00000000" w14:paraId="00000087">
      <w:pPr>
        <w:spacing w:line="360" w:lineRule="auto"/>
        <w:rPr/>
      </w:pPr>
      <w:r w:rsidDel="00000000" w:rsidR="00000000" w:rsidRPr="00000000">
        <w:rPr>
          <w:rFonts w:ascii="Times New Roman" w:cs="Times New Roman" w:eastAsia="Times New Roman" w:hAnsi="Times New Roman"/>
          <w:color w:val="0e0e0e"/>
        </w:rPr>
        <w:drawing>
          <wp:inline distB="114300" distT="114300" distL="114300" distR="114300">
            <wp:extent cx="5486400" cy="54864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The more detailed figure below (Component Diagram) illustrates how the system’s main modules fit together internally. The structure follows a four-layer design:</w:t>
      </w:r>
    </w:p>
    <w:p w:rsidR="00000000" w:rsidDel="00000000" w:rsidP="00000000" w:rsidRDefault="00000000" w:rsidRPr="00000000" w14:paraId="00000089">
      <w:pPr>
        <w:numPr>
          <w:ilvl w:val="0"/>
          <w:numId w:val="4"/>
        </w:numPr>
        <w:spacing w:after="0" w:afterAutospacing="0" w:before="240" w:lineRule="auto"/>
        <w:ind w:left="720" w:hanging="360"/>
        <w:rPr/>
      </w:pPr>
      <w:r w:rsidDel="00000000" w:rsidR="00000000" w:rsidRPr="00000000">
        <w:rPr>
          <w:rtl w:val="0"/>
        </w:rPr>
        <w:t xml:space="preserve">Frontend (Presentation Layer): Handles user input, displays maps and POIs, renders the itinerary view, and manages interactive elements of the web interface.</w:t>
      </w:r>
    </w:p>
    <w:p w:rsidR="00000000" w:rsidDel="00000000" w:rsidP="00000000" w:rsidRDefault="00000000" w:rsidRPr="00000000" w14:paraId="0000008A">
      <w:pPr>
        <w:numPr>
          <w:ilvl w:val="0"/>
          <w:numId w:val="4"/>
        </w:numPr>
        <w:spacing w:after="0" w:afterAutospacing="0" w:before="0" w:beforeAutospacing="0" w:lineRule="auto"/>
        <w:ind w:left="720" w:hanging="360"/>
        <w:rPr/>
      </w:pPr>
      <w:r w:rsidDel="00000000" w:rsidR="00000000" w:rsidRPr="00000000">
        <w:rPr>
          <w:rtl w:val="0"/>
        </w:rPr>
        <w:t xml:space="preserve">Application Layer: Encapsulates the core business logic, including GUIDECore, RouteService, and RouteEngine. This layer is responsible for filtering POIs, generating itineraries, applying constraints, and preparing responses for the UI.</w:t>
      </w:r>
    </w:p>
    <w:p w:rsidR="00000000" w:rsidDel="00000000" w:rsidP="00000000" w:rsidRDefault="00000000" w:rsidRPr="00000000" w14:paraId="0000008B">
      <w:pPr>
        <w:numPr>
          <w:ilvl w:val="0"/>
          <w:numId w:val="4"/>
        </w:numPr>
        <w:spacing w:after="0" w:afterAutospacing="0" w:before="0" w:beforeAutospacing="0" w:lineRule="auto"/>
        <w:ind w:left="720" w:hanging="360"/>
        <w:rPr/>
      </w:pPr>
      <w:r w:rsidDel="00000000" w:rsidR="00000000" w:rsidRPr="00000000">
        <w:rPr>
          <w:rtl w:val="0"/>
        </w:rPr>
        <w:t xml:space="preserve">Integration Layer: Provides controlled access to external and supporting services. At runtime, this mainly includes OSRMClient, which communicates with the local OSRM routing service. During data preparation, this layer also includes components such as DescriptionService, ImageService, TTSService, and POIRepositoryGenerator.</w:t>
      </w:r>
    </w:p>
    <w:p w:rsidR="00000000" w:rsidDel="00000000" w:rsidP="00000000" w:rsidRDefault="00000000" w:rsidRPr="00000000" w14:paraId="0000008C">
      <w:pPr>
        <w:numPr>
          <w:ilvl w:val="0"/>
          <w:numId w:val="4"/>
        </w:numPr>
        <w:spacing w:after="240" w:before="0" w:beforeAutospacing="0" w:lineRule="auto"/>
        <w:ind w:left="720" w:hanging="360"/>
        <w:rPr/>
      </w:pPr>
      <w:r w:rsidDel="00000000" w:rsidR="00000000" w:rsidRPr="00000000">
        <w:rPr>
          <w:rtl w:val="0"/>
        </w:rPr>
        <w:t xml:space="preserve">Data Layer: Stores the static POI dataset, pre-generated images, audio files, and configuration data used by the application. POIRepository and the underlying storage belong to this layer.</w:t>
      </w:r>
    </w:p>
    <w:p w:rsidR="00000000" w:rsidDel="00000000" w:rsidP="00000000" w:rsidRDefault="00000000" w:rsidRPr="00000000" w14:paraId="0000008D">
      <w:pPr>
        <w:spacing w:after="240" w:before="240" w:lineRule="auto"/>
        <w:rPr/>
      </w:pPr>
      <w:r w:rsidDel="00000000" w:rsidR="00000000" w:rsidRPr="00000000">
        <w:rPr>
          <w:rtl w:val="0"/>
        </w:rPr>
        <w:t xml:space="preserve">The flow between these components is as follows: the user sends a request through the frontend, the application layer processes it using POIRepository and, when needed, calls OSRM via the integration layer, then aggregates all required data and returns a structured result to the frontend. This modular, layered structure keeps the architecture easy to understand while supporting maintainability and future extensions.</w:t>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 Design Rationale</w:t>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of the GUIDE system was shaped by several practical considerations, project constraints, and the need to build a system that is both reliable and manageable throughout the development process. While we aimed to create a system that feels modern and responsive, we also had to balance this with feasibility, maintainability, and the resources available to the team.</w:t>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core decisions was adopting a </w:t>
      </w:r>
      <w:r w:rsidDel="00000000" w:rsidR="00000000" w:rsidRPr="00000000">
        <w:rPr>
          <w:rFonts w:ascii="Times New Roman" w:cs="Times New Roman" w:eastAsia="Times New Roman" w:hAnsi="Times New Roman"/>
          <w:sz w:val="24"/>
          <w:szCs w:val="24"/>
          <w:rtl w:val="0"/>
        </w:rPr>
        <w:t xml:space="preserve">hybrid layered and service-oriented architecture.</w:t>
      </w:r>
      <w:r w:rsidDel="00000000" w:rsidR="00000000" w:rsidRPr="00000000">
        <w:rPr>
          <w:rFonts w:ascii="Times New Roman" w:cs="Times New Roman" w:eastAsia="Times New Roman" w:hAnsi="Times New Roman"/>
          <w:sz w:val="24"/>
          <w:szCs w:val="24"/>
          <w:rtl w:val="0"/>
        </w:rPr>
        <w:t xml:space="preserve"> Instead of building a tightly coupled structure where modules constantly depend on each other, we preferred a design where the presentation, backend logic, and data handling responsibilities are clearly separated. This separation made it easier for team members to work in parallel (especially during the design and implementation phases) and helped us ensure that changes in one part of the system would not affect much to others. At the same time, structuring certain backend functionalities (such as routing, POI selection, content retrieval, and integration logic) as smaller, well-defined services gives us the flexibility to extend or replace these components later if needed.</w:t>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architectural choice was the decision to rely on </w:t>
      </w:r>
      <w:r w:rsidDel="00000000" w:rsidR="00000000" w:rsidRPr="00000000">
        <w:rPr>
          <w:rFonts w:ascii="Times New Roman" w:cs="Times New Roman" w:eastAsia="Times New Roman" w:hAnsi="Times New Roman"/>
          <w:sz w:val="24"/>
          <w:szCs w:val="24"/>
          <w:rtl w:val="0"/>
        </w:rPr>
        <w:t xml:space="preserve">OpenStreetMap for map data and OSRM for route generation,</w:t>
      </w:r>
      <w:r w:rsidDel="00000000" w:rsidR="00000000" w:rsidRPr="00000000">
        <w:rPr>
          <w:rFonts w:ascii="Times New Roman" w:cs="Times New Roman" w:eastAsia="Times New Roman" w:hAnsi="Times New Roman"/>
          <w:sz w:val="24"/>
          <w:szCs w:val="24"/>
          <w:rtl w:val="0"/>
        </w:rPr>
        <w:t xml:space="preserve"> rather than using commercial APIs. Early in the project, we identified several risks related to external API dependencies: quota limits, API key expiration and unpredictable pricing models. OSRM allowed us to completely avoid these concerns by running routing operations locally. Once the map data is preprocessed and loaded, OSRM delivers very fast responses and ensures consistent behavior, which is especially important in environments where stable internet access cannot be guaranteed. This trade-off sacrifices real-time traffic or live geographical updates, but for the purpose of this project (where stability matters more than live data) it proved to be the most reliable option.</w:t>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deliberate decision was the use of a </w:t>
      </w:r>
      <w:r w:rsidDel="00000000" w:rsidR="00000000" w:rsidRPr="00000000">
        <w:rPr>
          <w:rFonts w:ascii="Times New Roman" w:cs="Times New Roman" w:eastAsia="Times New Roman" w:hAnsi="Times New Roman"/>
          <w:sz w:val="24"/>
          <w:szCs w:val="24"/>
          <w:rtl w:val="0"/>
        </w:rPr>
        <w:t xml:space="preserve">local data repository for POIs, images, and audio files.</w:t>
      </w:r>
      <w:r w:rsidDel="00000000" w:rsidR="00000000" w:rsidRPr="00000000">
        <w:rPr>
          <w:rFonts w:ascii="Times New Roman" w:cs="Times New Roman" w:eastAsia="Times New Roman" w:hAnsi="Times New Roman"/>
          <w:sz w:val="24"/>
          <w:szCs w:val="24"/>
          <w:rtl w:val="0"/>
        </w:rPr>
        <w:t xml:space="preserve"> Instead of fetching descriptions, images, and TTS audio dynamically, we chose to pre-process and store this content during development. This significantly reduces the number of external dependencies during runtime and helps achieve predictable performance regardless of the availability of external services like Wikipedia, Flickr, Pixabay, or ElevenLabs. While this approach requires more upfront preparation, it simplifies the runtime architecture and speeds up the user experience. </w:t>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technology standpoint, choosing </w:t>
      </w:r>
      <w:r w:rsidDel="00000000" w:rsidR="00000000" w:rsidRPr="00000000">
        <w:rPr>
          <w:rFonts w:ascii="Times New Roman" w:cs="Times New Roman" w:eastAsia="Times New Roman" w:hAnsi="Times New Roman"/>
          <w:sz w:val="24"/>
          <w:szCs w:val="24"/>
          <w:rtl w:val="0"/>
        </w:rPr>
        <w:t xml:space="preserve">Python (FastAPI) for the backend and a simple HTML/CSS/JavaScript stack for the frontend</w:t>
      </w:r>
      <w:r w:rsidDel="00000000" w:rsidR="00000000" w:rsidRPr="00000000">
        <w:rPr>
          <w:rFonts w:ascii="Times New Roman" w:cs="Times New Roman" w:eastAsia="Times New Roman" w:hAnsi="Times New Roman"/>
          <w:sz w:val="24"/>
          <w:szCs w:val="24"/>
          <w:rtl w:val="0"/>
        </w:rPr>
        <w:t xml:space="preserve"> allowed us to keep the development process smooth. These technologies align well with the team’s existing skills and avoid unnecessary complexity. FastAPI’s structure naturally supports modular backend design, automatic documentation, and asynchronous operations, making it a good fit for integrating multiple modules. The lightweight frontend also made it easy to prototype interfaces quickly without heavy frameworks.</w:t>
      </w:r>
    </w:p>
    <w:p w:rsidR="00000000" w:rsidDel="00000000" w:rsidP="00000000" w:rsidRDefault="00000000" w:rsidRPr="00000000" w14:paraId="00000095">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Across all these decisions, the main goal was to keep the system modular, predictable, and easy to maintain. The architecture supports the project’s performance requirements, avoids major external risks, and provides a clear foundation for future improvements, such as migrating to more dynamic data sources or scaling components into separate services if the system grows. Overall, these design choices represent a balance between academic expectations, practical limitations, and a desire to build a system that functions smoothly in both development and demonstration environments.</w:t>
      </w: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Detailed Design</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 Component Descriptions</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List each component/class and its function.</w:t>
      </w: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 Interface Descriptions</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Describe data passed between components.</w:t>
      </w: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3.3 Data Design</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Explain database schemas or data structures.</w:t>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 Algorithm Design</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Outline main algorithms with pseudocode or flowcharts.</w:t>
      </w: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Traceability</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Link each design element back to one or more SRS requirements.</w:t>
      </w:r>
      <w:r w:rsidDel="00000000" w:rsidR="00000000" w:rsidRPr="00000000">
        <w:rPr>
          <w:rtl w:val="0"/>
        </w:rPr>
      </w:r>
    </w:p>
    <w:p w:rsidR="00000000" w:rsidDel="00000000" w:rsidP="00000000" w:rsidRDefault="00000000" w:rsidRPr="00000000" w14:paraId="000000A8">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Style w:val="Heading2"/>
        <w:rPr>
          <w:rFonts w:ascii="Times New Roman" w:cs="Times New Roman" w:eastAsia="Times New Roman" w:hAnsi="Times New Roman"/>
          <w:color w:val="000000"/>
          <w:sz w:val="24"/>
          <w:szCs w:val="24"/>
        </w:rPr>
      </w:pPr>
      <w:bookmarkStart w:colFirst="0" w:colLast="0" w:name="_heading=h.3rjqyelhvjl7" w:id="3"/>
      <w:bookmarkEnd w:id="3"/>
      <w:r w:rsidDel="00000000" w:rsidR="00000000" w:rsidRPr="00000000">
        <w:rPr>
          <w:rFonts w:ascii="Times New Roman" w:cs="Times New Roman" w:eastAsia="Times New Roman" w:hAnsi="Times New Roman"/>
          <w:color w:val="000000"/>
          <w:sz w:val="24"/>
          <w:szCs w:val="24"/>
          <w:rtl w:val="0"/>
        </w:rPr>
        <w:t xml:space="preserve">5. Appendix</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 Class Diagram Reference</w:t>
      </w:r>
    </w:p>
    <w:p w:rsidR="00000000" w:rsidDel="00000000" w:rsidP="00000000" w:rsidRDefault="00000000" w:rsidRPr="00000000" w14:paraId="000000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 diagram represents the logical structure and relationships between system components.</w:t>
      </w:r>
    </w:p>
    <w:p w:rsidR="00000000" w:rsidDel="00000000" w:rsidP="00000000" w:rsidRDefault="00000000" w:rsidRPr="00000000" w14:paraId="000000AD">
      <w:pPr>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0000ee"/>
            <w:sz w:val="24"/>
            <w:szCs w:val="24"/>
            <w:u w:val="single"/>
            <w:rtl w:val="0"/>
          </w:rPr>
          <w:t xml:space="preserve">GUIDE_class_diagram.pdf</w:t>
        </w:r>
      </w:hyperlink>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F">
      <w:pPr>
        <w:pStyle w:val="Heading2"/>
        <w:rPr>
          <w:rFonts w:ascii="Times New Roman" w:cs="Times New Roman" w:eastAsia="Times New Roman" w:hAnsi="Times New Roman"/>
          <w:color w:val="000000"/>
          <w:sz w:val="24"/>
          <w:szCs w:val="24"/>
        </w:rPr>
      </w:pPr>
      <w:bookmarkStart w:colFirst="0" w:colLast="0" w:name="_heading=h.895kpvbccsov" w:id="4"/>
      <w:bookmarkEnd w:id="4"/>
      <w:r w:rsidDel="00000000" w:rsidR="00000000" w:rsidRPr="00000000">
        <w:rPr>
          <w:rFonts w:ascii="Times New Roman" w:cs="Times New Roman" w:eastAsia="Times New Roman" w:hAnsi="Times New Roman"/>
          <w:color w:val="000000"/>
          <w:sz w:val="24"/>
          <w:szCs w:val="24"/>
          <w:rtl w:val="0"/>
        </w:rPr>
        <w:t xml:space="preserve">6. References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IEEE Computer Society. (2009). IEEE Std 1016-2009: Software Design Descriptions. IEEE.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IEEE Computer Society. (1998). IEEE Std 830-1998: Recommended Practice for Software Requirements Specifications. IEEE.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ISO/IEC. (2011). ISO/IEC 25010:2011 — Systems and software engineering — Systems and software Quality Requirements and Evaluation (SQuaRE).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ISO/IEC/IEEE. (2018). ISO/IEC/IEEE 29148:2018 — Requirements engineering.</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Object Management Group. (2017). Unified Modeling Language (UML) Version 2.5.</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Fielding, R., et al. (2014). RFC 7231: Hypertext Transfer Protocol (HTTP/1.1): Semantics and Content. IETF.</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Hardt, D. (2012). RFC 6749: The OAuth 2.0 Authorization Framework. IETF.</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Rescorla, E. (2018). RFC 8446: The Transport Layer Security (TLS) Protocol Version 1.3. IETF.</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Open Geospatial Consortium. (2006). OGC WMS 1.3.0 Specification.</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Open Geospatial Consortium. (2010). OGC WFS 2.0.0 Specification.</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ISO. (2019). ISO 8601:2019 — Date and time representation.</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 National Geospatial-Intelligence Agency. (2014). WGS 84 Standard.</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 W3C. (2018). Web Content Accessibility Guidelines (WCAG) 2.1.</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 WHATWG. (2023). HTML Living Standard.</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W3C. (2023). CSS3 Specification.</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 OWASP Foundation. (2021). OWASP Top Ten 2021.</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Fonts w:ascii="Times New Roman" w:cs="Times New Roman" w:eastAsia="Times New Roman" w:hAnsi="Times New Roman"/>
          <w:sz w:val="24"/>
          <w:szCs w:val="24"/>
          <w:rtl w:val="0"/>
        </w:rPr>
        <w:t xml:space="preserve"> Turkish Parliament. (2016). Law No. 6698 on the Protection of Personal Data (KVKK).</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Fonts w:ascii="Times New Roman" w:cs="Times New Roman" w:eastAsia="Times New Roman" w:hAnsi="Times New Roman"/>
          <w:sz w:val="24"/>
          <w:szCs w:val="24"/>
          <w:rtl w:val="0"/>
        </w:rPr>
        <w:t xml:space="preserve"> European Union. (2016). Regulation (EU) 2016/679 (GDPR).</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Fonts w:ascii="Times New Roman" w:cs="Times New Roman" w:eastAsia="Times New Roman" w:hAnsi="Times New Roman"/>
          <w:sz w:val="24"/>
          <w:szCs w:val="24"/>
          <w:rtl w:val="0"/>
        </w:rPr>
        <w:t xml:space="preserve"> IEEE Computer Society. (2008). IEEE Std 829-2008: Software and System Test Documentation.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 ISO/IEC. (2014). ISO/IEC 25000:2014 — SQuaRE quality framework.</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 IEEE Computer Society. (2001). IEEE Std 1063-2001: Software User Documentation.</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r w:rsidDel="00000000" w:rsidR="00000000" w:rsidRPr="00000000">
        <w:rPr>
          <w:rFonts w:ascii="Times New Roman" w:cs="Times New Roman" w:eastAsia="Times New Roman" w:hAnsi="Times New Roman"/>
          <w:sz w:val="24"/>
          <w:szCs w:val="24"/>
          <w:rtl w:val="0"/>
        </w:rPr>
        <w:t xml:space="preserve"> Preston-Werner, T. (2013). Semantic Versioning 2.0.0. https://semver.org</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 OpenStreetMap Foundation. (2023). OpenStreetMap API v0.6 Documentation.</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r w:rsidDel="00000000" w:rsidR="00000000" w:rsidRPr="00000000">
        <w:rPr>
          <w:rFonts w:ascii="Times New Roman" w:cs="Times New Roman" w:eastAsia="Times New Roman" w:hAnsi="Times New Roman"/>
          <w:sz w:val="24"/>
          <w:szCs w:val="24"/>
          <w:rtl w:val="0"/>
        </w:rPr>
        <w:t xml:space="preserve"> OpenStreetMap Foundation. (2009). Open Database License (ODbL) 1.0.</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Fonts w:ascii="Times New Roman" w:cs="Times New Roman" w:eastAsia="Times New Roman" w:hAnsi="Times New Roman"/>
          <w:sz w:val="24"/>
          <w:szCs w:val="24"/>
          <w:rtl w:val="0"/>
        </w:rPr>
        <w:t xml:space="preserve"> OSRM Project. (2023). OSRM HTTP API Documentation.</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r w:rsidDel="00000000" w:rsidR="00000000" w:rsidRPr="00000000">
        <w:rPr>
          <w:rFonts w:ascii="Times New Roman" w:cs="Times New Roman" w:eastAsia="Times New Roman" w:hAnsi="Times New Roman"/>
          <w:sz w:val="24"/>
          <w:szCs w:val="24"/>
          <w:rtl w:val="0"/>
        </w:rPr>
        <w:t xml:space="preserve"> Wikimedia Foundation. (2023). MediaWiki REST API Documentation.</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r w:rsidDel="00000000" w:rsidR="00000000" w:rsidRPr="00000000">
        <w:rPr>
          <w:rFonts w:ascii="Times New Roman" w:cs="Times New Roman" w:eastAsia="Times New Roman" w:hAnsi="Times New Roman"/>
          <w:sz w:val="24"/>
          <w:szCs w:val="24"/>
          <w:rtl w:val="0"/>
        </w:rPr>
        <w:t xml:space="preserve"> Flickr Inc. (2023). Flickr Services API.</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r w:rsidDel="00000000" w:rsidR="00000000" w:rsidRPr="00000000">
        <w:rPr>
          <w:rFonts w:ascii="Times New Roman" w:cs="Times New Roman" w:eastAsia="Times New Roman" w:hAnsi="Times New Roman"/>
          <w:sz w:val="24"/>
          <w:szCs w:val="24"/>
          <w:rtl w:val="0"/>
        </w:rPr>
        <w:t xml:space="preserve"> Pixabay GmbH. (2023). Pixabay API Documentation.</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r w:rsidDel="00000000" w:rsidR="00000000" w:rsidRPr="00000000">
        <w:rPr>
          <w:rFonts w:ascii="Times New Roman" w:cs="Times New Roman" w:eastAsia="Times New Roman" w:hAnsi="Times New Roman"/>
          <w:sz w:val="24"/>
          <w:szCs w:val="24"/>
          <w:rtl w:val="0"/>
        </w:rPr>
        <w:t xml:space="preserve"> ElevenLabs. (2023). Text-to-Speech API Reference.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Fonts w:ascii="Times New Roman" w:cs="Times New Roman" w:eastAsia="Times New Roman" w:hAnsi="Times New Roman"/>
          <w:sz w:val="24"/>
          <w:szCs w:val="24"/>
          <w:rtl w:val="0"/>
        </w:rPr>
        <w:t xml:space="preserve"> Python Software Foundation. (2023). Python 3.12 Documentation.</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r w:rsidDel="00000000" w:rsidR="00000000" w:rsidRPr="00000000">
        <w:rPr>
          <w:rFonts w:ascii="Times New Roman" w:cs="Times New Roman" w:eastAsia="Times New Roman" w:hAnsi="Times New Roman"/>
          <w:sz w:val="24"/>
          <w:szCs w:val="24"/>
          <w:rtl w:val="0"/>
        </w:rPr>
        <w:t xml:space="preserve"> Ramírez, S. (2023). FastAPI Documentation.</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r w:rsidDel="00000000" w:rsidR="00000000" w:rsidRPr="00000000">
        <w:rPr>
          <w:rFonts w:ascii="Times New Roman" w:cs="Times New Roman" w:eastAsia="Times New Roman" w:hAnsi="Times New Roman"/>
          <w:sz w:val="24"/>
          <w:szCs w:val="24"/>
          <w:rtl w:val="0"/>
        </w:rPr>
        <w:t xml:space="preserve"> Chacon, S., &amp; Straub, B. (2014). Pro Git (2nd ed.). Apress.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r w:rsidDel="00000000" w:rsidR="00000000" w:rsidRPr="00000000">
        <w:rPr>
          <w:rFonts w:ascii="Times New Roman" w:cs="Times New Roman" w:eastAsia="Times New Roman" w:hAnsi="Times New Roman"/>
          <w:sz w:val="24"/>
          <w:szCs w:val="24"/>
          <w:rtl w:val="0"/>
        </w:rPr>
        <w:t xml:space="preserve"> QUAD-CORE Team. (2025). GUIDE Software Requirements Specification (SRS). </w:t>
      </w:r>
      <w:r w:rsidDel="00000000" w:rsidR="00000000" w:rsidRPr="00000000">
        <w:rPr>
          <w:rFonts w:ascii="Times New Roman" w:cs="Times New Roman" w:eastAsia="Times New Roman" w:hAnsi="Times New Roman"/>
          <w:sz w:val="24"/>
          <w:szCs w:val="24"/>
          <w:rtl w:val="0"/>
        </w:rPr>
        <w:t xml:space="preserve">TOBB University of Economics and Technology, BIL495 / YAP495 Graduation Project.</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r w:rsidDel="00000000" w:rsidR="00000000" w:rsidRPr="00000000">
        <w:rPr>
          <w:rFonts w:ascii="Times New Roman" w:cs="Times New Roman" w:eastAsia="Times New Roman" w:hAnsi="Times New Roman"/>
          <w:sz w:val="24"/>
          <w:szCs w:val="24"/>
          <w:rtl w:val="0"/>
        </w:rPr>
        <w:t xml:space="preserve"> QUAD-CORE Team. (2025). GUIDE Project Management Plan (PMP). </w:t>
      </w:r>
      <w:r w:rsidDel="00000000" w:rsidR="00000000" w:rsidRPr="00000000">
        <w:rPr>
          <w:rFonts w:ascii="Times New Roman" w:cs="Times New Roman" w:eastAsia="Times New Roman" w:hAnsi="Times New Roman"/>
          <w:sz w:val="24"/>
          <w:szCs w:val="24"/>
          <w:rtl w:val="0"/>
        </w:rPr>
        <w:t xml:space="preserve">TOBB University of Economics and Technology, BIL495 / YAP495 Graduation Project.</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r w:rsidDel="00000000" w:rsidR="00000000" w:rsidRPr="00000000">
        <w:rPr>
          <w:rFonts w:ascii="Times New Roman" w:cs="Times New Roman" w:eastAsia="Times New Roman" w:hAnsi="Times New Roman"/>
          <w:sz w:val="24"/>
          <w:szCs w:val="24"/>
          <w:rtl w:val="0"/>
        </w:rPr>
        <w:t xml:space="preserve"> QUAD-CORE Team. (2025). GUIDE System Architecture Document (SAD). </w:t>
      </w:r>
      <w:r w:rsidDel="00000000" w:rsidR="00000000" w:rsidRPr="00000000">
        <w:rPr>
          <w:rFonts w:ascii="Times New Roman" w:cs="Times New Roman" w:eastAsia="Times New Roman" w:hAnsi="Times New Roman"/>
          <w:sz w:val="24"/>
          <w:szCs w:val="24"/>
          <w:rtl w:val="0"/>
        </w:rPr>
        <w:t xml:space="preserve">TOBB University of Economics and Technology, BIL495 / YAP495 Graduation Project.</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QUAD-CORE Team. (2025). GUIDE Project Proposal (proposal_v2). TOBB University of Economics and Technology, BIL495 / YAP495 Graduation Project.</w:t>
      </w:r>
    </w:p>
    <w:p w:rsidR="00000000" w:rsidDel="00000000" w:rsidP="00000000" w:rsidRDefault="00000000" w:rsidRPr="00000000" w14:paraId="000000D4">
      <w:pPr>
        <w:widowControl w:val="1"/>
        <w:spacing w:after="200" w:before="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 w:top="1440" w:left="1800" w:right="180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link w:val="Header"/>
    <w:uiPriority w:val="99"/>
    <w:qFormat w:val="1"/>
    <w:rsid w:val="00E618BF"/>
    <w:rPr/>
  </w:style>
  <w:style w:type="character" w:styleId="FooterChar" w:customStyle="1">
    <w:name w:val="Footer Char"/>
    <w:basedOn w:val="DefaultParagraphFont"/>
    <w:link w:val="Footer"/>
    <w:uiPriority w:val="99"/>
    <w:qFormat w:val="1"/>
    <w:rsid w:val="00E618B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FC693F"/>
    <w:rPr>
      <w:rFonts w:ascii="Calibri" w:cs="" w:eastAsia=""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qFormat w:val="1"/>
    <w:rsid w:val="00FC693F"/>
    <w:rPr>
      <w:rFonts w:ascii="Calibri" w:cs="" w:eastAsia=""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qFormat w:val="1"/>
    <w:rsid w:val="00FC693F"/>
    <w:rPr>
      <w:rFonts w:ascii="Calibri" w:cs="" w:eastAsia=""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qFormat w:val="1"/>
    <w:rsid w:val="00FC693F"/>
    <w:rPr>
      <w:rFonts w:ascii="Calibri" w:cs="" w:eastAsia=""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link w:val="Subtitle"/>
    <w:uiPriority w:val="11"/>
    <w:qFormat w:val="1"/>
    <w:rsid w:val="00FC693F"/>
    <w:rPr>
      <w:rFonts w:ascii="Calibri" w:cs="" w:eastAsia=""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link w:val="Heading4"/>
    <w:uiPriority w:val="9"/>
    <w:semiHidden w:val="1"/>
    <w:qFormat w:val="1"/>
    <w:rsid w:val="00FC693F"/>
    <w:rPr>
      <w:rFonts w:ascii="Calibri" w:cs="" w:eastAsia=""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qFormat w:val="1"/>
    <w:rsid w:val="00FC693F"/>
    <w:rPr>
      <w:rFonts w:ascii="Calibri" w:cs="" w:eastAsia=""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qFormat w:val="1"/>
    <w:rsid w:val="00FC693F"/>
    <w:rPr>
      <w:rFonts w:ascii="Calibri" w:cs="" w:eastAsia=""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qFormat w:val="1"/>
    <w:rsid w:val="00FC693F"/>
    <w:rPr>
      <w:rFonts w:ascii="Calibri" w:cs="" w:eastAsia=""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Heading">
    <w:name w:val="Heading"/>
    <w:basedOn w:val="Normal"/>
    <w:next w:val="BodyText"/>
    <w:qFormat w:val="1"/>
    <w:pPr>
      <w:keepNext w:val="1"/>
      <w:spacing w:after="120" w:before="240"/>
    </w:pPr>
    <w:rPr>
      <w:rFonts w:ascii="Liberation Sans" w:cs="Arial" w:eastAsia="Microsoft YaHei" w:hAnsi="Liberation Sans"/>
      <w:sz w:val="28"/>
      <w:szCs w:val="28"/>
    </w:rPr>
  </w:style>
  <w:style w:type="paragraph" w:styleId="BodyText">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200" w:before="0"/>
      <w:ind w:left="360" w:hanging="360"/>
      <w:contextualSpacing w:val="1"/>
    </w:pPr>
    <w:rPr/>
  </w:style>
  <w:style w:type="paragraph" w:styleId="Caption">
    <w:name w:val="Caption"/>
    <w:basedOn w:val="Normal"/>
    <w:qFormat w:val="1"/>
    <w:pPr>
      <w:suppressLineNumbers w:val="1"/>
      <w:spacing w:after="120" w:before="120"/>
    </w:pPr>
    <w:rPr>
      <w:rFonts w:cs="Arial"/>
      <w:i w:val="1"/>
      <w:iCs w:val="1"/>
      <w:sz w:val="24"/>
      <w:szCs w:val="24"/>
    </w:rPr>
  </w:style>
  <w:style w:type="paragraph" w:styleId="Index">
    <w:name w:val="Index"/>
    <w:basedOn w:val="Normal"/>
    <w:qFormat w:val="1"/>
    <w:pPr>
      <w:suppressLineNumbers w:val="1"/>
    </w:pPr>
    <w:rPr>
      <w:rFonts w:cs="Arial"/>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suppressAutoHyphens w:val="1"/>
      <w:bidi w:val="0"/>
      <w:spacing w:after="0" w:before="0" w:line="240" w:lineRule="auto"/>
      <w:jc w:val="left"/>
    </w:pPr>
    <w:rPr>
      <w:rFonts w:ascii="Cambria" w:cs="" w:eastAsia=""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200" w:before="0"/>
      <w:ind w:left="72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2"/>
    <w:basedOn w:val="Normal"/>
    <w:uiPriority w:val="99"/>
    <w:unhideWhenUsed w:val="1"/>
    <w:qFormat w:val="1"/>
    <w:rsid w:val="00326F90"/>
    <w:pPr>
      <w:spacing w:after="200" w:before="0"/>
      <w:ind w:left="720" w:hanging="360"/>
      <w:contextualSpacing w:val="1"/>
    </w:pPr>
    <w:rPr/>
  </w:style>
  <w:style w:type="paragraph" w:styleId="List3">
    <w:name w:val="List 3"/>
    <w:basedOn w:val="Normal"/>
    <w:uiPriority w:val="99"/>
    <w:unhideWhenUsed w:val="1"/>
    <w:qFormat w:val="1"/>
    <w:rsid w:val="00326F90"/>
    <w:pPr>
      <w:spacing w:after="200" w:before="0"/>
      <w:ind w:left="1080" w:hanging="360"/>
      <w:contextualSpacing w:val="1"/>
    </w:pPr>
    <w:rPr/>
  </w:style>
  <w:style w:type="paragraph" w:styleId="ListBullet">
    <w:name w:val="List Bullet"/>
    <w:basedOn w:val="Normal"/>
    <w:uiPriority w:val="99"/>
    <w:unhideWhenUsed w:val="1"/>
    <w:rsid w:val="00326F90"/>
    <w:pPr>
      <w:numPr>
        <w:ilvl w:val="0"/>
        <w:numId w:val="1"/>
      </w:numPr>
      <w:spacing w:after="200" w:before="0"/>
      <w:contextualSpacing w:val="1"/>
    </w:pPr>
    <w:rPr/>
  </w:style>
  <w:style w:type="paragraph" w:styleId="ListBullet2">
    <w:name w:val="List Bullet 2"/>
    <w:basedOn w:val="Normal"/>
    <w:uiPriority w:val="99"/>
    <w:unhideWhenUsed w:val="1"/>
    <w:rsid w:val="00326F90"/>
    <w:pPr>
      <w:numPr>
        <w:ilvl w:val="0"/>
        <w:numId w:val="2"/>
      </w:numPr>
      <w:spacing w:after="200" w:before="0"/>
      <w:contextualSpacing w:val="1"/>
    </w:pPr>
    <w:rPr/>
  </w:style>
  <w:style w:type="paragraph" w:styleId="ListBullet3">
    <w:name w:val="List Bullet 3"/>
    <w:basedOn w:val="Normal"/>
    <w:uiPriority w:val="99"/>
    <w:unhideWhenUsed w:val="1"/>
    <w:rsid w:val="00326F90"/>
    <w:pPr>
      <w:numPr>
        <w:ilvl w:val="0"/>
        <w:numId w:val="3"/>
      </w:numPr>
      <w:spacing w:after="200" w:before="0"/>
      <w:contextualSpacing w:val="1"/>
    </w:pPr>
    <w:rPr/>
  </w:style>
  <w:style w:type="paragraph" w:styleId="ListNumber">
    <w:name w:val="List Number"/>
    <w:basedOn w:val="Normal"/>
    <w:uiPriority w:val="99"/>
    <w:unhideWhenUsed w:val="1"/>
    <w:rsid w:val="00326F90"/>
    <w:pPr>
      <w:numPr>
        <w:ilvl w:val="0"/>
        <w:numId w:val="4"/>
      </w:numPr>
      <w:spacing w:after="200" w:before="0"/>
      <w:contextualSpacing w:val="1"/>
    </w:pPr>
    <w:rPr/>
  </w:style>
  <w:style w:type="paragraph" w:styleId="ListNumber2">
    <w:name w:val="List Number 2"/>
    <w:basedOn w:val="Normal"/>
    <w:uiPriority w:val="99"/>
    <w:unhideWhenUsed w:val="1"/>
    <w:rsid w:val="0029639D"/>
    <w:pPr>
      <w:numPr>
        <w:ilvl w:val="0"/>
        <w:numId w:val="5"/>
      </w:numPr>
      <w:spacing w:after="200" w:before="0"/>
      <w:contextualSpacing w:val="1"/>
    </w:pPr>
    <w:rPr/>
  </w:style>
  <w:style w:type="paragraph" w:styleId="ListNumber3">
    <w:name w:val="List Number 3"/>
    <w:basedOn w:val="Normal"/>
    <w:uiPriority w:val="99"/>
    <w:unhideWhenUsed w:val="1"/>
    <w:rsid w:val="0029639D"/>
    <w:pPr>
      <w:numPr>
        <w:ilvl w:val="0"/>
        <w:numId w:val="6"/>
      </w:numPr>
      <w:spacing w:after="200" w:before="0"/>
      <w:contextualSpacing w:val="1"/>
    </w:pPr>
    <w:rPr/>
  </w:style>
  <w:style w:type="paragraph" w:styleId="ListContinue">
    <w:name w:val="List Continue"/>
    <w:basedOn w:val="Normal"/>
    <w:uiPriority w:val="99"/>
    <w:unhideWhenUsed w:val="1"/>
    <w:rsid w:val="0029639D"/>
    <w:pPr>
      <w:spacing w:after="120" w:before="0"/>
      <w:ind w:left="360"/>
      <w:contextualSpacing w:val="1"/>
    </w:pPr>
    <w:rPr/>
  </w:style>
  <w:style w:type="paragraph" w:styleId="ListContinue2">
    <w:name w:val="List Continue 2"/>
    <w:basedOn w:val="Normal"/>
    <w:uiPriority w:val="99"/>
    <w:unhideWhenUsed w:val="1"/>
    <w:rsid w:val="0029639D"/>
    <w:pPr>
      <w:spacing w:after="120" w:before="0"/>
      <w:ind w:left="720"/>
      <w:contextualSpacing w:val="1"/>
    </w:pPr>
    <w:rPr/>
  </w:style>
  <w:style w:type="paragraph" w:styleId="ListContinue3">
    <w:name w:val="List Continue 3"/>
    <w:basedOn w:val="Normal"/>
    <w:uiPriority w:val="99"/>
    <w:unhideWhenUsed w:val="1"/>
    <w:rsid w:val="0029639D"/>
    <w:pPr>
      <w:spacing w:after="120" w:before="0"/>
      <w:ind w:left="1080"/>
      <w:contextualSpacing w:val="1"/>
    </w:pPr>
    <w:rPr/>
  </w:style>
  <w:style w:type="paragraph" w:styleId="Macro">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suppressAutoHyphens w:val="1"/>
      <w:bidi w:val="0"/>
      <w:spacing w:after="200" w:before="0" w:line="276" w:lineRule="auto"/>
      <w:jc w:val="left"/>
    </w:pPr>
    <w:rPr>
      <w:rFonts w:ascii="Courier" w:cs="" w:eastAsia=""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Caption1">
    <w:name w:val="caption1"/>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val="1"/>
    <w:unhideWhenUsed w:val="1"/>
    <w:qFormat w:val="1"/>
    <w:rsid w:val="00FC693F"/>
    <w:pPr>
      <w:outlineLvl w:val="9"/>
    </w:pPr>
    <w:rPr/>
  </w:style>
  <w:style w:type="paragraph" w:styleId="Caption11">
    <w:name w:val="caption11"/>
    <w:basedOn w:val="Normal"/>
    <w:next w:val="Normal"/>
    <w:qFormat w:val="1"/>
    <w:pPr>
      <w:spacing w:line="240" w:lineRule="exact"/>
    </w:pPr>
    <w:rPr>
      <w:b w:val="1"/>
      <w:bCs w:val="1"/>
      <w:color w:val="4f81bd"/>
      <w:sz w:val="18"/>
      <w:szCs w:val="18"/>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themeColor="text1"/>
      </w:rPr>
      <w:tblPr/>
      <w:tcPr>
        <w:shd w:color="auto" w:fill="e6e6e6" w:themeFill="tex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themeColor="text1"/>
      </w:rPr>
      <w:tblPr/>
      <w:tcPr>
        <w:shd w:color="auto" w:fill="edf2f8" w:themeFill="accen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themeColor="text1"/>
      </w:rPr>
      <w:tblPr/>
      <w:tcPr>
        <w:shd w:color="auto" w:fill="f8eded" w:themeFill="accent2"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themeColor="text1"/>
      </w:rPr>
      <w:tblPr/>
      <w:tcPr>
        <w:shd w:color="auto" w:fill="f5f8ee" w:themeFill="accent3"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themeColor="text1"/>
      </w:rPr>
      <w:tblPr/>
      <w:tcPr>
        <w:shd w:color="auto" w:fill="f2eff6" w:themeFill="accent4"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themeColor="text1"/>
      </w:rPr>
      <w:tblPr/>
      <w:tcPr>
        <w:shd w:color="auto" w:fill="edf6f9" w:themeFill="accent5"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themeColor="text1"/>
      </w:rPr>
      <w:tblPr/>
      <w:tcPr>
        <w:shd w:color="auto" w:fill="fef4ec" w:themeFill="accent6"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000000" w:themeFill="text1" w:themeFillShade="000099" w:val="clear"/>
      </w:tcPr>
    </w:tblStylePr>
    <w:tblStylePr w:type="firstCol">
      <w:rPr>
        <w:color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c4c74" w:themeFill="accent1" w:themeFillShade="000099" w:val="clear"/>
      </w:tcPr>
    </w:tblStylePr>
    <w:tblStylePr w:type="firstCol">
      <w:rPr>
        <w:color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772c2a" w:themeFill="accent2" w:themeFillShade="000099" w:val="clear"/>
      </w:tcPr>
    </w:tblStylePr>
    <w:tblStylePr w:type="firstCol">
      <w:rPr>
        <w:color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5e7530" w:themeFill="accent3" w:themeFillShade="000099" w:val="clear"/>
      </w:tcPr>
    </w:tblStylePr>
    <w:tblStylePr w:type="firstCol">
      <w:rPr>
        <w:color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4c3b62" w:themeFill="accent4" w:themeFillShade="000099" w:val="clear"/>
      </w:tcPr>
    </w:tblStylePr>
    <w:tblStylePr w:type="firstCol">
      <w:rPr>
        <w:color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76a7c" w:themeFill="accent5" w:themeFillShade="000099" w:val="clear"/>
      </w:tcPr>
    </w:tblStylePr>
    <w:tblStylePr w:type="firstCol">
      <w:rPr>
        <w:color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b65608" w:themeFill="accent6" w:themeFillShade="000099" w:val="clear"/>
      </w:tcPr>
    </w:tblStylePr>
    <w:tblStylePr w:type="firstCol">
      <w:rPr>
        <w:color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rPr>
      <w:tblPr/>
      <w:tcPr>
        <w:shd w:color="auto" w:fill="999999" w:themeFill="text1" w:themeFillTint="000066" w:val="clear"/>
      </w:tcPr>
    </w:tblStylePr>
    <w:tblStylePr w:type="firstCol">
      <w:rPr>
        <w:color w:themeColor="background1"/>
      </w:rPr>
      <w:tblPr/>
      <w:tcPr>
        <w:shd w:color="auto" w:fill="000000" w:themeFill="text1" w:themeFillShade="0000BF" w:val="clear"/>
      </w:tcPr>
    </w:tblStylePr>
    <w:tblStylePr w:type="lastCol">
      <w:rPr>
        <w:color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rPr>
      <w:tblPr/>
      <w:tcPr>
        <w:shd w:color="auto" w:fill="b8cce4" w:themeFill="accent1" w:themeFillTint="000066" w:val="clear"/>
      </w:tcPr>
    </w:tblStylePr>
    <w:tblStylePr w:type="firstCol">
      <w:rPr>
        <w:color w:themeColor="background1"/>
      </w:rPr>
      <w:tblPr/>
      <w:tcPr>
        <w:shd w:color="auto" w:fill="365f91" w:themeFill="accent1" w:themeFillShade="0000BF" w:val="clear"/>
      </w:tcPr>
    </w:tblStylePr>
    <w:tblStylePr w:type="lastCol">
      <w:rPr>
        <w:color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rPr>
      <w:tblPr/>
      <w:tcPr>
        <w:shd w:color="auto" w:fill="e5b8b7" w:themeFill="accent2" w:themeFillTint="000066" w:val="clear"/>
      </w:tcPr>
    </w:tblStylePr>
    <w:tblStylePr w:type="firstCol">
      <w:rPr>
        <w:color w:themeColor="background1"/>
      </w:rPr>
      <w:tblPr/>
      <w:tcPr>
        <w:shd w:color="auto" w:fill="943634" w:themeFill="accent2" w:themeFillShade="0000BF" w:val="clear"/>
      </w:tcPr>
    </w:tblStylePr>
    <w:tblStylePr w:type="lastCol">
      <w:rPr>
        <w:color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rPr>
      <w:tblPr/>
      <w:tcPr>
        <w:shd w:color="auto" w:fill="d6e3bc" w:themeFill="accent3" w:themeFillTint="000066" w:val="clear"/>
      </w:tcPr>
    </w:tblStylePr>
    <w:tblStylePr w:type="firstCol">
      <w:rPr>
        <w:color w:themeColor="background1"/>
      </w:rPr>
      <w:tblPr/>
      <w:tcPr>
        <w:shd w:color="auto" w:fill="76923c" w:themeFill="accent3" w:themeFillShade="0000BF" w:val="clear"/>
      </w:tcPr>
    </w:tblStylePr>
    <w:tblStylePr w:type="lastCol">
      <w:rPr>
        <w:color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rPr>
      <w:tblPr/>
      <w:tcPr>
        <w:shd w:color="auto" w:fill="ccc0d9" w:themeFill="accent4" w:themeFillTint="000066" w:val="clear"/>
      </w:tcPr>
    </w:tblStylePr>
    <w:tblStylePr w:type="firstCol">
      <w:rPr>
        <w:color w:themeColor="background1"/>
      </w:rPr>
      <w:tblPr/>
      <w:tcPr>
        <w:shd w:color="auto" w:fill="5f497a" w:themeFill="accent4" w:themeFillShade="0000BF" w:val="clear"/>
      </w:tcPr>
    </w:tblStylePr>
    <w:tblStylePr w:type="lastCol">
      <w:rPr>
        <w:color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rPr>
      <w:tblPr/>
      <w:tcPr>
        <w:shd w:color="auto" w:fill="b6dde8" w:themeFill="accent5" w:themeFillTint="000066" w:val="clear"/>
      </w:tcPr>
    </w:tblStylePr>
    <w:tblStylePr w:type="firstCol">
      <w:rPr>
        <w:color w:themeColor="background1"/>
      </w:rPr>
      <w:tblPr/>
      <w:tcPr>
        <w:shd w:color="auto" w:fill="31849b" w:themeFill="accent5" w:themeFillShade="0000BF" w:val="clear"/>
      </w:tcPr>
    </w:tblStylePr>
    <w:tblStylePr w:type="lastCol">
      <w:rPr>
        <w:color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rPr>
      <w:tblPr/>
      <w:tcPr>
        <w:shd w:color="auto" w:fill="fbd4b4" w:themeFill="accent6" w:themeFillTint="000066" w:val="clear"/>
      </w:tcPr>
    </w:tblStylePr>
    <w:tblStylePr w:type="firstCol">
      <w:rPr>
        <w:color w:themeColor="background1"/>
      </w:rPr>
      <w:tblPr/>
      <w:tcPr>
        <w:shd w:color="auto" w:fill="e36c0a" w:themeFill="accent6" w:themeFillShade="0000BF" w:val="clear"/>
      </w:tcPr>
    </w:tblStylePr>
    <w:tblStylePr w:type="lastCol">
      <w:rPr>
        <w:color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99uR_s7sfO0VaBJvls7yiZERw3DVCa8j"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s6gGxqW0+hhbBXD1m9Hn2y02SQ==">CgMxLjAyD2lkLnB0NTcxZ3dkaDNoNDIOaC40b3I5NWN6YW1ic3YyDGgueHpyN2YycDhqODIOaC4zcmpxeWVsaHZqbDcyDmguODk1a3B2YmNjc292OAByITF2bzM5MGtIQUpDN0dfWDVqWlpCSmF3dlo3S3g2RXZOeg==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coreProperties>
</file>

<file path=docProps/custom.xml><?xml version="1.0" encoding="utf-8"?>
<Properties xmlns="http://schemas.openxmlformats.org/officeDocument/2006/custom-properties" xmlns:vt="http://schemas.openxmlformats.org/officeDocument/2006/docPropsVTypes"/>
</file>