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4"/>
          <w:szCs w:val="44"/>
        </w:rPr>
      </w:pPr>
      <w:bookmarkStart w:colFirst="0" w:colLast="0" w:name="_twiotih51ptd" w:id="0"/>
      <w:bookmarkEnd w:id="0"/>
      <w:r w:rsidDel="00000000" w:rsidR="00000000" w:rsidRPr="00000000">
        <w:rPr>
          <w:sz w:val="34"/>
          <w:szCs w:val="34"/>
          <w:rtl w:val="0"/>
        </w:rPr>
        <w:t xml:space="preserve">Nov 28, 2025</w:t>
      </w:r>
      <w:r w:rsidDel="00000000" w:rsidR="00000000" w:rsidRPr="00000000">
        <w:rPr>
          <w:sz w:val="34"/>
          <w:szCs w:val="34"/>
          <w:rtl w:val="0"/>
        </w:rPr>
        <w:t xml:space="preserve"> | Diagram &amp; Test Planning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members presented early drafts of the Sequence, State Machine, and Deployment Diagrams.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Complexities of the Sequence Diagram (scenario selection, I/O flows, return paths) were discussed.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test-related decisions were reviewed, including scope of the Test Plan and initial Test Cases.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requirement–design–test traceability strategy was validated collectively.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Revisions were agreed upon to ensure diagram consistency across documents.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