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f3s7zakxmk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 Review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5nh8z2f1qr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Structure &amp; Standard Compliance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document follows the relevant IEEE/ISO standard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ordering matches the project template.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mandatory sections are present and complete.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numbering, section numbering, and headings are consistent.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ndqaxsvd2y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Content 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cross-references (e.g., “see Section X”) are correct and active.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Diagrams referenced in the text exist and are up-to-date.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fdwl4vq9dn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Traceability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map to design elements.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map to test cases.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in requirements are reflected in design and test documents.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orphan requirements or design elements exist.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2xe12y5obu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Quality of Writing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Terminology is consistent across all GUIDE documents.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Definitions and abbreviations are correct and included when needed.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Sentences are clear, concise, and free of ambiguity.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contradictory statements exist within the document.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mb8svduvq9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Formatting &amp; Presentation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Diagrams have captions and readable labels.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 are complete and formatted consistently.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Fonts, styles, and spacing follow the standard template.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revision history table is updated.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