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Metrics</w:t>
        <w:br w:type="textWrapping"/>
      </w:r>
      <w:r w:rsidDel="00000000" w:rsidR="00000000" w:rsidRPr="00000000">
        <w:rPr>
          <w:rtl w:val="0"/>
        </w:rPr>
        <w:t xml:space="preserve"> To monitor the effectiveness and completeness of the testing activities in Sprint 3 and subsequent sprints, following test metrics will be calculated. These metrics are used only for internal monitoring and reporting and do not change the functional acceptance criteria.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will be calculated after each formal integration / system test cycle: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Test Coverage (%)</w:t>
      </w:r>
      <w:r w:rsidDel="00000000" w:rsidR="00000000" w:rsidRPr="00000000">
        <w:rPr>
          <w:rtl w:val="0"/>
        </w:rPr>
        <w:t xml:space="preserve"> – Indicates how much of the in-scope behaviour defined in the SRS is covered by at least one test case.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Formula:</w:t>
        <w:br w:type="textWrapping"/>
      </w:r>
      <w:r w:rsidDel="00000000" w:rsidR="00000000" w:rsidRPr="00000000">
        <w:rPr>
          <w:rtl w:val="0"/>
        </w:rPr>
        <w:t xml:space="preserve"> Requirements Test Coverage (%) =</w:t>
        <w:br w:type="textWrapping"/>
        <w:t xml:space="preserve"> (Number of requirements that have at least one associated test case) /</w:t>
        <w:br w:type="textWrapping"/>
        <w:t xml:space="preserve"> (Total number of in-scope requirements) × 100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Execution Coverage (%)</w:t>
      </w:r>
      <w:r w:rsidDel="00000000" w:rsidR="00000000" w:rsidRPr="00000000">
        <w:rPr>
          <w:rtl w:val="0"/>
        </w:rPr>
        <w:t xml:space="preserve"> – Indicates how much of the planned test suite has actually been executed in the current cycle.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Formula:</w:t>
        <w:br w:type="textWrapping"/>
      </w:r>
      <w:r w:rsidDel="00000000" w:rsidR="00000000" w:rsidRPr="00000000">
        <w:rPr>
          <w:rtl w:val="0"/>
        </w:rPr>
        <w:t xml:space="preserve"> Test Case Execution Coverage (%) =</w:t>
        <w:br w:type="textWrapping"/>
        <w:t xml:space="preserve"> (Number of executed test cases) / (Total number of planned test cases) × 100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Density (defects/executed test case)</w:t>
      </w:r>
      <w:r w:rsidDel="00000000" w:rsidR="00000000" w:rsidRPr="00000000">
        <w:rPr>
          <w:rtl w:val="0"/>
        </w:rPr>
        <w:t xml:space="preserve"> – Indicates how many defects were detected relative to the executed test effort in a given cycle.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Formula:</w:t>
        <w:br w:type="textWrapping"/>
      </w:r>
      <w:r w:rsidDel="00000000" w:rsidR="00000000" w:rsidRPr="00000000">
        <w:rPr>
          <w:rtl w:val="0"/>
        </w:rPr>
        <w:t xml:space="preserve"> Defect Density =</w:t>
        <w:br w:type="textWrapping"/>
        <w:t xml:space="preserve"> (Number of unique defects found in the test cycle) /</w:t>
        <w:br w:type="textWrapping"/>
        <w:t xml:space="preserve"> (Number of executed test cases in the same cycle)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all in-scope requirements specified in the other project documents are covered by at least one test case, the current Requirements Test Coverage is 100% at the design level.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Implementation and test execution have not started yet, therefore the number of executed test cases and the number of detected defects are both 0. As a result, the Test Case Execution Coverage is currently 0%, while the Defect Density metric is not yet applicable and will be calculated starting from the first implementation test cycle.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