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sz w:val="34"/>
          <w:szCs w:val="34"/>
        </w:rPr>
      </w:pPr>
      <w:bookmarkStart w:colFirst="0" w:colLast="0" w:name="_dxt8sjxoexw5" w:id="0"/>
      <w:bookmarkEnd w:id="0"/>
      <w:r w:rsidDel="00000000" w:rsidR="00000000" w:rsidRPr="00000000">
        <w:rPr>
          <w:sz w:val="34"/>
          <w:szCs w:val="34"/>
          <w:rtl w:val="0"/>
        </w:rPr>
        <w:t xml:space="preserve">Nov 21, 2025</w:t>
      </w:r>
      <w:r w:rsidDel="00000000" w:rsidR="00000000" w:rsidRPr="00000000">
        <w:rPr>
          <w:sz w:val="34"/>
          <w:szCs w:val="34"/>
          <w:rtl w:val="0"/>
        </w:rPr>
        <w:t xml:space="preserve"> | Sprint </w:t>
      </w:r>
      <w:r w:rsidDel="00000000" w:rsidR="00000000" w:rsidRPr="00000000">
        <w:rPr>
          <w:sz w:val="34"/>
          <w:szCs w:val="34"/>
          <w:rtl w:val="0"/>
        </w:rPr>
        <w:t xml:space="preserve">Planning</w:t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Attendees: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Ebrar Sude Doğan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Erdem Baran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Kayrahan Toprak Tosun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Tuna Kodal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scope and priorities were reviewed, focusing on testing and behavioral diagrams.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Tasks were distributed based on prior sprint responsibilities to maintain consistency.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Deliverables such as Sequence, State Machine, and Deployment Diagrams were assigned.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aligned on the expected structure of the Test Document (STP v1).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Timeline and workload expectations were clarified.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