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Thu gom, cân thực tế</w:t>
        <w:br/>
        <w:t>và khách duyệt báo giá</w:t>
      </w:r>
    </w:p>
    <w:p>
      <w:pPr>
        <w:pStyle w:val="Subtitle"/>
      </w:pPr>
      <w:r>
        <w:t>Báo cáo ngắn về ba phần backend đã triển khai</w:t>
      </w:r>
    </w:p>
    <w:p>
      <w:r>
        <w:t>Dự án: EcoThuGom • Java Spring Boot • SQL Server • Ngày 23/10/2026</w:t>
      </w:r>
    </w:p>
    <w:p>
      <w:r>
        <w:t>Phạm vi là website thương mại điện tử của một đại lý thu mua. Báo cáo mô tả API cho nhân viên di chuyển, ghi kết quả cân và gửi báo giá, sau đó khách đồng ý hoặc từ chối. Chưa thực hiện thanh toán; không cần chạy lại schema SQL.</w:t>
      </w:r>
    </w:p>
    <w:p>
      <w:pPr>
        <w:pStyle w:val="Heading1"/>
      </w:pPr>
      <w:r>
        <w:t>1. Nhân viên di chuyển và xác nhận đến nơi</w:t>
      </w:r>
    </w:p>
    <w:p>
      <w:r>
        <w:t>Chỉ nhân viên COLLECTOR đang hoạt động và được phân công đúng đơn mới thao tác được. ADMIN xác nhận/phân công ở bước trước; CUSTOMER theo dõi qua API đơn của mình.</w:t>
      </w:r>
    </w:p>
    <w:p>
      <w:r>
        <w:t>Tiền tố C = /api/collector/orders/{id}. Thay {id} bằng ID đơn thực tế.</w:t>
      </w:r>
    </w:p>
    <w:tbl>
      <w:tblPr>
        <w:tblW w:type="auto" w:w="0"/>
        <w:tblLayout w:type="fixed"/>
        <w:tblLook w:firstColumn="1" w:firstRow="1" w:lastColumn="0" w:lastRow="0" w:noHBand="0" w:noVBand="1" w:val="04A0"/>
      </w:tblPr>
      <w:tblGrid>
        <w:gridCol w:w="2880"/>
        <w:gridCol w:w="3384"/>
        <w:gridCol w:w="3816"/>
      </w:tblGrid>
      <w:tr>
        <w:trPr>
          <w:tblHeader/>
          <w:cantSplit/>
        </w:trP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shd w:fill="EAF0F4"/>
          </w:tcPr>
          <w:p>
            <w:pPr>
              <w:spacing w:after="60" w:line="252" w:lineRule="auto"/>
            </w:pPr>
            <w:r>
              <w:rPr>
                <w:b/>
                <w:sz w:val="21"/>
              </w:rPr>
              <w:t>API</w:t>
            </w:r>
          </w:p>
        </w:tc>
        <w:tc>
          <w:tcPr>
            <w:tcW w:type="dxa" w:w="3384"/>
            <w:tcBorders>
              <w:top w:val="single" w:sz="4" w:color="D9D9D9"/>
              <w:left w:val="single" w:sz="4" w:color="D9D9D9"/>
              <w:bottom w:val="single" w:sz="4" w:color="D9D9D9"/>
              <w:right w:val="single" w:sz="4" w:color="D9D9D9"/>
            </w:tcBorders>
            <w:tcMar>
              <w:top w:w="90" w:type="dxa"/>
              <w:left w:w="90" w:type="dxa"/>
              <w:bottom w:w="90" w:type="dxa"/>
              <w:right w:w="90" w:type="dxa"/>
            </w:tcMar>
            <w:shd w:fill="EAF0F4"/>
          </w:tcPr>
          <w:p>
            <w:pPr>
              <w:spacing w:after="60" w:line="252" w:lineRule="auto"/>
            </w:pPr>
            <w:r>
              <w:rPr>
                <w:b/>
                <w:sz w:val="21"/>
              </w:rPr>
              <w:t>Điều kiện</w:t>
            </w:r>
          </w:p>
        </w:tc>
        <w:tc>
          <w:tcPr>
            <w:tcW w:type="dxa" w:w="3816"/>
            <w:tcBorders>
              <w:top w:val="single" w:sz="4" w:color="D9D9D9"/>
              <w:left w:val="single" w:sz="4" w:color="D9D9D9"/>
              <w:bottom w:val="single" w:sz="4" w:color="D9D9D9"/>
              <w:right w:val="single" w:sz="4" w:color="D9D9D9"/>
            </w:tcBorders>
            <w:tcMar>
              <w:top w:w="90" w:type="dxa"/>
              <w:left w:w="90" w:type="dxa"/>
              <w:bottom w:w="90" w:type="dxa"/>
              <w:right w:w="90" w:type="dxa"/>
            </w:tcMar>
            <w:shd w:fill="EAF0F4"/>
          </w:tcPr>
          <w:p>
            <w:pPr>
              <w:spacing w:after="60" w:line="252" w:lineRule="auto"/>
            </w:pPr>
            <w:r>
              <w:rPr>
                <w:b/>
                <w:sz w:val="21"/>
              </w:rPr>
              <w:t>Kết quả</w:t>
            </w:r>
          </w:p>
        </w:tc>
      </w:tr>
      <w:tr>
        <w:trPr>
          <w:cantSplit/>
        </w:trP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1"/>
              </w:rPr>
              <w:t>POST C/start-trip</w:t>
            </w:r>
          </w:p>
        </w:tc>
        <w:tc>
          <w:tcPr>
            <w:tcW w:type="dxa" w:w="33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1"/>
              </w:rPr>
              <w:t>ASSIGNED; version khớp</w:t>
            </w:r>
          </w:p>
        </w:tc>
        <w:tc>
          <w:tcPr>
            <w:tcW w:type="dxa" w:w="38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1"/>
              </w:rPr>
              <w:t>EN_ROUTE; version +1</w:t>
            </w:r>
          </w:p>
        </w:tc>
      </w:tr>
      <w:tr>
        <w:trPr>
          <w:cantSplit/>
        </w:trP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1"/>
              </w:rPr>
              <w:t>POST C/arrive</w:t>
            </w:r>
          </w:p>
        </w:tc>
        <w:tc>
          <w:tcPr>
            <w:tcW w:type="dxa" w:w="33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1"/>
              </w:rPr>
              <w:t>EN_ROUTE; version khớp</w:t>
            </w:r>
          </w:p>
        </w:tc>
        <w:tc>
          <w:tcPr>
            <w:tcW w:type="dxa" w:w="38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1"/>
              </w:rPr>
              <w:t>ARRIVED; version +1</w:t>
            </w:r>
          </w:p>
        </w:tc>
      </w:tr>
      <w:tr>
        <w:trPr>
          <w:cantSplit/>
        </w:trP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1"/>
              </w:rPr>
              <w:t>GET C</w:t>
            </w:r>
          </w:p>
        </w:tc>
        <w:tc>
          <w:tcPr>
            <w:tcW w:type="dxa" w:w="33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1"/>
              </w:rPr>
              <w:t>Được giao đơn</w:t>
            </w:r>
          </w:p>
        </w:tc>
        <w:tc>
          <w:tcPr>
            <w:tcW w:type="dxa" w:w="38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1"/>
              </w:rPr>
              <w:t>Xem trạng thái, version, itemId</w:t>
            </w:r>
          </w:p>
        </w:tc>
      </w:tr>
    </w:tbl>
    <w:p/>
    <w:p>
      <w:pPr>
        <w:spacing w:before="60" w:after="160"/>
      </w:pPr>
      <w:r>
        <w:rPr>
          <w:rFonts w:ascii="Consolas" w:hAnsi="Consolas"/>
          <w:sz w:val="21"/>
        </w:rPr>
        <w:t>{"version": 2, "reason": "Bắt đầu di chuyển"}</w:t>
      </w:r>
    </w:p>
    <w:p>
      <w:r>
        <w:t>reason tùy chọn, tối đa 500 ký tự. Không được bỏ qua EN_ROUTE hoặc gửi lại thao tác đã hoàn tất. Hệ thống giữ nguyên nhân viên, địa chỉ và giá ước tính; ghi người thực hiện, trạng thái cũ/mới và thời gian UTC.</w:t>
      </w:r>
    </w:p>
    <w:p>
      <w:pPr>
        <w:pStyle w:val="Heading1"/>
      </w:pPr>
      <w:r>
        <w:t>Luồng sau khi nối ba phần</w:t>
      </w:r>
    </w:p>
    <w:p>
      <w:r>
        <w:t>ASSIGNED → EN_ROUTE → ARRIVED → cân thực tế → gửi báo giá → AWAITING_SELLER_APPROVAL. Khách đồng ý: AWAITING_PAYMENT. Khách từ chối: trở về ARRIVED để nhân viên xử lý lại.</w:t>
      </w:r>
    </w:p>
    <w:p>
      <w:r>
        <w:t>Mỗi lệnh ghi dữ liệu cần cookie JSESSIONID, CSRF hợp lệ và version hiện tại. Cập nhật nghiệp vụ cùng lịch sử nằm trong một transaction; nếu ghi lỗi thì rollback toàn bộ.</w:t>
      </w:r>
    </w:p>
    <w:p>
      <w:r>
        <w:br w:type="page"/>
      </w:r>
    </w:p>
    <w:p>
      <w:pPr>
        <w:pStyle w:val="Heading1"/>
      </w:pPr>
      <w:r>
        <w:t>2. Nhập cân thực tế và gửi báo giá</w:t>
      </w:r>
    </w:p>
    <w:p>
      <w:r>
        <w:t>Tiền tố C giữ như trang 1. Chỉ cân khi đơn ARRIVED. itemId lấy từ danh sách items trong GET C, không dùng materialId thay thế.</w:t>
      </w:r>
    </w:p>
    <w:tbl>
      <w:tblPr>
        <w:tblW w:type="auto" w:w="0"/>
        <w:tblLayout w:type="fixed"/>
        <w:tblLook w:firstColumn="1" w:firstRow="1" w:lastColumn="0" w:lastRow="0" w:noHBand="0" w:noVBand="1" w:val="04A0"/>
      </w:tblPr>
      <w:tblGrid>
        <w:gridCol w:w="3384"/>
        <w:gridCol w:w="6696"/>
      </w:tblGrid>
      <w:tr>
        <w:trPr>
          <w:tblHeader/>
          <w:cantSplit/>
        </w:trPr>
        <w:tc>
          <w:tcPr>
            <w:tcW w:type="dxa" w:w="3384"/>
            <w:tcBorders>
              <w:top w:val="single" w:sz="4" w:color="D9D9D9"/>
              <w:left w:val="single" w:sz="4" w:color="D9D9D9"/>
              <w:bottom w:val="single" w:sz="4" w:color="D9D9D9"/>
              <w:right w:val="single" w:sz="4" w:color="D9D9D9"/>
            </w:tcBorders>
            <w:tcMar>
              <w:top w:w="90" w:type="dxa"/>
              <w:left w:w="90" w:type="dxa"/>
              <w:bottom w:w="90" w:type="dxa"/>
              <w:right w:w="90" w:type="dxa"/>
            </w:tcMar>
            <w:shd w:fill="EAF0F4"/>
          </w:tcPr>
          <w:p>
            <w:pPr>
              <w:spacing w:after="60" w:line="252" w:lineRule="auto"/>
            </w:pPr>
            <w:r>
              <w:rPr>
                <w:b/>
                <w:sz w:val="21"/>
              </w:rPr>
              <w:t>API</w:t>
            </w:r>
          </w:p>
        </w:tc>
        <w:tc>
          <w:tcPr>
            <w:tcW w:type="dxa" w:w="6696"/>
            <w:tcBorders>
              <w:top w:val="single" w:sz="4" w:color="D9D9D9"/>
              <w:left w:val="single" w:sz="4" w:color="D9D9D9"/>
              <w:bottom w:val="single" w:sz="4" w:color="D9D9D9"/>
              <w:right w:val="single" w:sz="4" w:color="D9D9D9"/>
            </w:tcBorders>
            <w:tcMar>
              <w:top w:w="90" w:type="dxa"/>
              <w:left w:w="90" w:type="dxa"/>
              <w:bottom w:w="90" w:type="dxa"/>
              <w:right w:w="90" w:type="dxa"/>
            </w:tcMar>
            <w:shd w:fill="EAF0F4"/>
          </w:tcPr>
          <w:p>
            <w:pPr>
              <w:spacing w:after="60" w:line="252" w:lineRule="auto"/>
            </w:pPr>
            <w:r>
              <w:rPr>
                <w:b/>
                <w:sz w:val="21"/>
              </w:rPr>
              <w:t>Dữ liệu / kết quả</w:t>
            </w:r>
          </w:p>
        </w:tc>
      </w:tr>
      <w:tr>
        <w:trPr>
          <w:cantSplit/>
        </w:trPr>
        <w:tc>
          <w:tcPr>
            <w:tcW w:type="dxa" w:w="33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1"/>
              </w:rPr>
              <w:t>POST C/weighings</w:t>
            </w:r>
          </w:p>
        </w:tc>
        <w:tc>
          <w:tcPr>
            <w:tcW w:type="dxa" w:w="669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1"/>
              </w:rPr>
              <w:t>version và items; trả 201, orderVersion mới và lịch sử cân</w:t>
            </w:r>
          </w:p>
        </w:tc>
      </w:tr>
      <w:tr>
        <w:trPr>
          <w:cantSplit/>
        </w:trPr>
        <w:tc>
          <w:tcPr>
            <w:tcW w:type="dxa" w:w="33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1"/>
              </w:rPr>
              <w:t>GET C/weighings</w:t>
            </w:r>
          </w:p>
        </w:tc>
        <w:tc>
          <w:tcPr>
            <w:tcW w:type="dxa" w:w="669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1"/>
              </w:rPr>
              <w:t>Trả 200; toàn bộ phiếu cân của đơn được giao</w:t>
            </w:r>
          </w:p>
        </w:tc>
      </w:tr>
      <w:tr>
        <w:trPr>
          <w:cantSplit/>
        </w:trPr>
        <w:tc>
          <w:tcPr>
            <w:tcW w:type="dxa" w:w="33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1"/>
              </w:rPr>
              <w:t>POST C/quotes</w:t>
            </w:r>
          </w:p>
        </w:tc>
        <w:tc>
          <w:tcPr>
            <w:tcW w:type="dxa" w:w="669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1"/>
              </w:rPr>
              <w:t>Chỉ truyền version; trả 201 báo giá SENT và orderVersion mới</w:t>
            </w:r>
          </w:p>
        </w:tc>
      </w:tr>
    </w:tbl>
    <w:p/>
    <w:p>
      <w:r>
        <w:t>Ví dụ cân lần đầu (đơn ARRIVED/version 4, mặt hàng itemId 21):</w:t>
      </w:r>
    </w:p>
    <w:p>
      <w:pPr>
        <w:spacing w:before="60" w:after="160"/>
      </w:pPr>
      <w:r>
        <w:rPr>
          <w:rFonts w:ascii="Consolas" w:hAnsi="Consolas"/>
          <w:sz w:val="21"/>
        </w:rPr>
        <w:t>{"version": 4, "items": [</w:t>
        <w:br/>
        <w:t xml:space="preserve">  {"itemId": 21, "grossWeight": 5.25, "tareWeight": 0.25}</w:t>
        <w:br/>
        <w:t>]}</w:t>
      </w:r>
    </w:p>
    <w:p>
      <w:r>
        <w:t>Khối lượng tịnh = tổng − bì = 5 KG. Dùng tối đa 3 số thập phân và 9 số nguyên; tổng phải lớn hơn bì, bì không âm. Một lô tối đa 50 mặt hàng khác nhau, đều thuộc đơn. Thành công tăng version của đơn một lần.</w:t>
      </w:r>
    </w:p>
    <w:p>
      <w:r>
        <w:t>Nếu sửa cân, gửi lại với correctionOf là ID phiếu mới nhất của đúng mặt hàng và correctionReason có nội dung (tối đa 500 ký tự). Server thêm phiếu mới; phiếu cũ được giữ nguyên. Không sửa cân khi đang chờ khách duyệt hoặc đã được chấp thuận.</w:t>
      </w:r>
    </w:p>
    <w:p>
      <w:r>
        <w:t>Gửi báo giá sau cân, ví dụ đơn vừa tăng lên version 5:</w:t>
      </w:r>
    </w:p>
    <w:p>
      <w:pPr>
        <w:spacing w:before="60" w:after="160"/>
      </w:pPr>
      <w:r>
        <w:rPr>
          <w:rFonts w:ascii="Consolas" w:hAnsi="Consolas"/>
          <w:sz w:val="21"/>
        </w:rPr>
        <w:t>{"version": 5}</w:t>
      </w:r>
    </w:p>
    <w:p>
      <w:r>
        <w:t>Server yêu cầu cân đủ mọi mặt hàng, chọn phiếu cân mới nhất và giá APPROVED còn hiệu lực tại lúc gửi. Nếu thiếu giá hoặc vật liệu ngừng thu mua, trả 409 để xử lý bảng giá trước. Không dùng lại giá ước tính cũ và không nhận đơn giá/tổng tiền từ client.</w:t>
      </w:r>
    </w:p>
    <w:p>
      <w:r>
        <w:t>Mỗi dòng lưu tên vật liệu, loại, đơn vị, khối lượng thực, quy tắc giá và đơn giá. Thành tiền làm tròn HALF_UP đến đồng VND theo từng dòng; tổng là cộng các dòng đã làm tròn. Ví dụ 2,001 KG × 3.500 đ/KG = 7.004 đ.</w:t>
      </w:r>
    </w:p>
    <w:p>
      <w:r>
        <w:t>Báo giá mới có hạn 24 giờ, trạng thái SENT; đơn chuyển AWAITING_SELLER_APPROVAL. Sau từ chối hoặc khi báo giá hết hạn, nhân viên được gửi bản mới; lịch sử và phản hồi bản cũ vẫn được giữ.</w:t>
      </w:r>
    </w:p>
    <w:p>
      <w:r>
        <w:br w:type="page"/>
      </w:r>
    </w:p>
    <w:p>
      <w:pPr>
        <w:pStyle w:val="Heading1"/>
      </w:pPr>
      <w:r>
        <w:t>3. Khách xem và duyệt báo giá</w:t>
      </w:r>
    </w:p>
    <w:p>
      <w:r>
        <w:t>Tiền tố K = /api/customer/orders/{id}. Chỉ CUSTOMER là chủ đơn được phản hồi; nhân viên và admin có API đọc báo giá theo tiền tố vai trò của mình.</w:t>
      </w:r>
    </w:p>
    <w:tbl>
      <w:tblPr>
        <w:tblW w:type="auto" w:w="0"/>
        <w:tblLayout w:type="fixed"/>
        <w:tblLook w:firstColumn="1" w:firstRow="1" w:lastColumn="0" w:lastRow="0" w:noHBand="0" w:noVBand="1" w:val="04A0"/>
      </w:tblPr>
      <w:tblGrid>
        <w:gridCol w:w="4824"/>
        <w:gridCol w:w="5256"/>
      </w:tblGrid>
      <w:tr>
        <w:trPr>
          <w:tblHeader/>
          <w:cantSplit/>
        </w:trPr>
        <w:tc>
          <w:tcPr>
            <w:tcW w:type="dxa" w:w="4824"/>
            <w:tcBorders>
              <w:top w:val="single" w:sz="4" w:color="D9D9D9"/>
              <w:left w:val="single" w:sz="4" w:color="D9D9D9"/>
              <w:bottom w:val="single" w:sz="4" w:color="D9D9D9"/>
              <w:right w:val="single" w:sz="4" w:color="D9D9D9"/>
            </w:tcBorders>
            <w:tcMar>
              <w:top w:w="90" w:type="dxa"/>
              <w:left w:w="90" w:type="dxa"/>
              <w:bottom w:w="90" w:type="dxa"/>
              <w:right w:w="90" w:type="dxa"/>
            </w:tcMar>
            <w:shd w:fill="EAF0F4"/>
          </w:tcPr>
          <w:p>
            <w:pPr>
              <w:spacing w:after="60" w:line="252" w:lineRule="auto"/>
            </w:pPr>
            <w:r>
              <w:rPr>
                <w:b/>
                <w:sz w:val="21"/>
              </w:rPr>
              <w:t>API</w:t>
            </w:r>
          </w:p>
        </w:tc>
        <w:tc>
          <w:tcPr>
            <w:tcW w:type="dxa" w:w="5256"/>
            <w:tcBorders>
              <w:top w:val="single" w:sz="4" w:color="D9D9D9"/>
              <w:left w:val="single" w:sz="4" w:color="D9D9D9"/>
              <w:bottom w:val="single" w:sz="4" w:color="D9D9D9"/>
              <w:right w:val="single" w:sz="4" w:color="D9D9D9"/>
            </w:tcBorders>
            <w:tcMar>
              <w:top w:w="90" w:type="dxa"/>
              <w:left w:w="90" w:type="dxa"/>
              <w:bottom w:w="90" w:type="dxa"/>
              <w:right w:w="90" w:type="dxa"/>
            </w:tcMar>
            <w:shd w:fill="EAF0F4"/>
          </w:tcPr>
          <w:p>
            <w:pPr>
              <w:spacing w:after="60" w:line="252" w:lineRule="auto"/>
            </w:pPr>
            <w:r>
              <w:rPr>
                <w:b/>
                <w:sz w:val="21"/>
              </w:rPr>
              <w:t>Hành vi</w:t>
            </w:r>
          </w:p>
        </w:tc>
      </w:tr>
      <w:tr>
        <w:trPr>
          <w:cantSplit/>
        </w:trPr>
        <w:tc>
          <w:tcPr>
            <w:tcW w:type="dxa" w:w="482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1"/>
              </w:rPr>
              <w:t>GET K/quotes</w:t>
            </w:r>
          </w:p>
        </w:tc>
        <w:tc>
          <w:tcPr>
            <w:tcW w:type="dxa" w:w="525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1"/>
              </w:rPr>
              <w:t>Tối đa 100 bản gần nhất, versionNumber giảm dần; chưa có thì []</w:t>
            </w:r>
          </w:p>
        </w:tc>
      </w:tr>
      <w:tr>
        <w:trPr>
          <w:cantSplit/>
        </w:trPr>
        <w:tc>
          <w:tcPr>
            <w:tcW w:type="dxa" w:w="482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1"/>
              </w:rPr>
              <w:t>POST K/quotes/{quoteId}/accept</w:t>
            </w:r>
          </w:p>
        </w:tc>
        <w:tc>
          <w:tcPr>
            <w:tcW w:type="dxa" w:w="525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1"/>
              </w:rPr>
              <w:t>Báo giá → ACCEPTED; đơn → AWAITING_PAYMENT</w:t>
            </w:r>
          </w:p>
        </w:tc>
      </w:tr>
      <w:tr>
        <w:trPr>
          <w:cantSplit/>
        </w:trPr>
        <w:tc>
          <w:tcPr>
            <w:tcW w:type="dxa" w:w="482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1"/>
              </w:rPr>
              <w:t>POST K/quotes/{quoteId}/reject</w:t>
            </w:r>
          </w:p>
        </w:tc>
        <w:tc>
          <w:tcPr>
            <w:tcW w:type="dxa" w:w="525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1"/>
              </w:rPr>
              <w:t>Báo giá → REJECTED; đơn → ARRIVED</w:t>
            </w:r>
          </w:p>
        </w:tc>
      </w:tr>
    </w:tbl>
    <w:p/>
    <w:p>
      <w:r>
        <w:t>Payload đồng ý hoặc từ chối, ví dụ sau một lần cân và gửi báo giá:</w:t>
      </w:r>
    </w:p>
    <w:p>
      <w:pPr>
        <w:spacing w:before="60" w:after="160"/>
      </w:pPr>
      <w:r>
        <w:rPr>
          <w:rFonts w:ascii="Consolas" w:hAnsi="Consolas"/>
          <w:sz w:val="21"/>
        </w:rPr>
        <w:t>{"version": 6, "quoteVersion": 0,</w:t>
        <w:br/>
        <w:t xml:space="preserve"> "responseNote": "Đã kiểm tra kết quả cân và báo giá"}</w:t>
      </w:r>
    </w:p>
    <w:p>
      <w:r>
        <w:t>Phân biệt ba giá trị: version trong request là phiên bản đơn; quoteVersion lấy từ trường version của báo giá; versionNumber là số thứ tự các lần gửi báo giá. Không dùng versionNumber làm quoteVersion.</w:t>
      </w:r>
    </w:p>
    <w:p>
      <w:r>
        <w:t>Chỉ phản hồi báo giá SENT hiện hành khi đơn AWAITING_SELLER_APPROVAL, cả hai version đều khớp và thời điểm phản hồi còn trước validUntil. Đúng thời điểm hết hạn cũng bị từ chối. Với dữ liệu cũ validUntil rỗng thì không giới hạn hạn; báo giá API mới luôn có hạn 24 giờ.</w:t>
      </w:r>
    </w:p>
    <w:p>
      <w:r>
        <w:t>Server ghi respondedBy từ session khách, respondedAt theo UTC và responseNote tối đa 500 ký tự. Tiền và các dòng báo giá đã gửi không đổi khi duyệt. Thành công tăng version đơn và version báo giá, đồng thời ghi lịch sử trong một transaction.</w:t>
      </w:r>
    </w:p>
    <w:tbl>
      <w:tblPr>
        <w:tblW w:type="auto" w:w="0"/>
        <w:tblLayout w:type="fixed"/>
        <w:tblLook w:firstColumn="1" w:firstRow="1" w:lastColumn="0" w:lastRow="0" w:noHBand="0" w:noVBand="1" w:val="04A0"/>
      </w:tblPr>
      <w:tblGrid>
        <w:gridCol w:w="1584"/>
        <w:gridCol w:w="8496"/>
      </w:tblGrid>
      <w:tr>
        <w:trPr>
          <w:tblHeader/>
          <w:cantSplit/>
        </w:trPr>
        <w:tc>
          <w:tcPr>
            <w:tcW w:type="dxa" w:w="1584"/>
            <w:tcBorders>
              <w:top w:val="single" w:sz="4" w:color="D9D9D9"/>
              <w:left w:val="single" w:sz="4" w:color="D9D9D9"/>
              <w:bottom w:val="single" w:sz="4" w:color="D9D9D9"/>
              <w:right w:val="single" w:sz="4" w:color="D9D9D9"/>
            </w:tcBorders>
            <w:tcMar>
              <w:top w:w="90" w:type="dxa"/>
              <w:left w:w="90" w:type="dxa"/>
              <w:bottom w:w="90" w:type="dxa"/>
              <w:right w:w="90" w:type="dxa"/>
            </w:tcMar>
            <w:shd w:fill="EAF0F4"/>
          </w:tcPr>
          <w:p>
            <w:pPr>
              <w:spacing w:after="60" w:line="252" w:lineRule="auto"/>
            </w:pPr>
            <w:r>
              <w:rPr>
                <w:b/>
                <w:sz w:val="21"/>
              </w:rPr>
              <w:t>Mã lỗi</w:t>
            </w:r>
          </w:p>
        </w:tc>
        <w:tc>
          <w:tcPr>
            <w:tcW w:type="dxa" w:w="8496"/>
            <w:tcBorders>
              <w:top w:val="single" w:sz="4" w:color="D9D9D9"/>
              <w:left w:val="single" w:sz="4" w:color="D9D9D9"/>
              <w:bottom w:val="single" w:sz="4" w:color="D9D9D9"/>
              <w:right w:val="single" w:sz="4" w:color="D9D9D9"/>
            </w:tcBorders>
            <w:tcMar>
              <w:top w:w="90" w:type="dxa"/>
              <w:left w:w="90" w:type="dxa"/>
              <w:bottom w:w="90" w:type="dxa"/>
              <w:right w:w="90" w:type="dxa"/>
            </w:tcMar>
            <w:shd w:fill="EAF0F4"/>
          </w:tcPr>
          <w:p>
            <w:pPr>
              <w:spacing w:after="60" w:line="252" w:lineRule="auto"/>
            </w:pPr>
            <w:r>
              <w:rPr>
                <w:b/>
                <w:sz w:val="21"/>
              </w:rPr>
              <w:t>Ý nghĩa và cách xử lý</w:t>
            </w:r>
          </w:p>
        </w:tc>
      </w:tr>
      <w:tr>
        <w:trPr>
          <w:cantSplit/>
        </w:trPr>
        <w:tc>
          <w:tcPr>
            <w:tcW w:type="dxa" w:w="15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1"/>
              </w:rPr>
              <w:t>400</w:t>
            </w:r>
          </w:p>
        </w:tc>
        <w:tc>
          <w:tcPr>
            <w:tcW w:type="dxa" w:w="849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1"/>
              </w:rPr>
              <w:t>Body thiếu/sai trường, cân không hợp lệ hoặc vượt độ dài.</w:t>
            </w:r>
          </w:p>
        </w:tc>
      </w:tr>
      <w:tr>
        <w:trPr>
          <w:cantSplit/>
        </w:trPr>
        <w:tc>
          <w:tcPr>
            <w:tcW w:type="dxa" w:w="15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1"/>
              </w:rPr>
              <w:t>401 / 403</w:t>
            </w:r>
          </w:p>
        </w:tc>
        <w:tc>
          <w:tcPr>
            <w:tcW w:type="dxa" w:w="849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1"/>
              </w:rPr>
              <w:t>Chưa đăng nhập hoặc tài khoản bị khóa / sai vai trò hoặc CSRF.</w:t>
            </w:r>
          </w:p>
        </w:tc>
      </w:tr>
      <w:tr>
        <w:trPr>
          <w:cantSplit/>
        </w:trPr>
        <w:tc>
          <w:tcPr>
            <w:tcW w:type="dxa" w:w="15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1"/>
              </w:rPr>
              <w:t>404</w:t>
            </w:r>
          </w:p>
        </w:tc>
        <w:tc>
          <w:tcPr>
            <w:tcW w:type="dxa" w:w="849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1"/>
              </w:rPr>
              <w:t>Không tìm thấy đơn hoặc báo giá trong phạm vi tài khoản.</w:t>
            </w:r>
          </w:p>
        </w:tc>
      </w:tr>
      <w:tr>
        <w:trPr>
          <w:cantSplit/>
        </w:trPr>
        <w:tc>
          <w:tcPr>
            <w:tcW w:type="dxa" w:w="15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1"/>
              </w:rPr>
              <w:t>409</w:t>
            </w:r>
          </w:p>
        </w:tc>
        <w:tc>
          <w:tcPr>
            <w:tcW w:type="dxa" w:w="849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1"/>
              </w:rPr>
              <w:t>Sai trạng thái, version cũ, báo giá hết hạn hoặc thiếu giá/cân; đọc lại trước khi gửi.</w:t>
            </w:r>
          </w:p>
        </w:tc>
      </w:tr>
      <w:tr>
        <w:trPr>
          <w:cantSplit/>
        </w:trPr>
        <w:tc>
          <w:tcPr>
            <w:tcW w:type="dxa" w:w="15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1"/>
              </w:rPr>
              <w:t>500</w:t>
            </w:r>
          </w:p>
        </w:tc>
        <w:tc>
          <w:tcPr>
            <w:tcW w:type="dxa" w:w="849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1"/>
              </w:rPr>
              <w:t>Lưu dữ liệu thất bại; transaction rollback, không trả SQL trong lỗi.</w:t>
            </w:r>
          </w:p>
        </w:tc>
      </w:tr>
    </w:tbl>
    <w:p/>
    <w:p>
      <w:r>
        <w:br w:type="page"/>
      </w:r>
    </w:p>
    <w:p>
      <w:pPr>
        <w:pStyle w:val="Heading1"/>
      </w:pPr>
      <w:r>
        <w:t>4. Kiểm tra và cách dùng tiếp</w:t>
      </w:r>
    </w:p>
    <w:p>
      <w:r>
        <w:t>Kiểm thử hoàn tất ngày 23/10/2026: Maven verify đạt 117 kiểm thử, 0 thất bại/lỗi/bỏ qua và đóng gói JAR thành công. Đây là kiểm thử JUnit/MockMvc với H2 riêng trong bộ nhớ.</w:t>
      </w:r>
    </w:p>
    <w:p>
      <w:r>
        <w:t>Kiểm tra HTTP với JAR trên SQL Server EcoThuGomDB thật đạt 65 kiểm tra ở cổng 18080. Đã đối chiếu trạng thái/version/log, khối lượng tính trong SQL, tổng báo giá, một báo giá hiện hành và người phản hồi. Không tạo bản ghi thanh toán.</w:t>
      </w:r>
    </w:p>
    <w:tbl>
      <w:tblPr>
        <w:tblW w:type="auto" w:w="0"/>
        <w:tblLayout w:type="fixed"/>
        <w:tblLook w:firstColumn="1" w:firstRow="1" w:lastColumn="0" w:lastRow="0" w:noHBand="0" w:noVBand="1" w:val="04A0"/>
      </w:tblPr>
      <w:tblGrid>
        <w:gridCol w:w="2592"/>
        <w:gridCol w:w="7488"/>
      </w:tblGrid>
      <w:tr>
        <w:trPr>
          <w:tblHeader/>
          <w:cantSplit/>
        </w:trPr>
        <w:tc>
          <w:tcPr>
            <w:tcW w:type="dxa" w:w="2592"/>
            <w:tcBorders>
              <w:top w:val="single" w:sz="4" w:color="D9D9D9"/>
              <w:left w:val="single" w:sz="4" w:color="D9D9D9"/>
              <w:bottom w:val="single" w:sz="4" w:color="D9D9D9"/>
              <w:right w:val="single" w:sz="4" w:color="D9D9D9"/>
            </w:tcBorders>
            <w:tcMar>
              <w:top w:w="90" w:type="dxa"/>
              <w:left w:w="90" w:type="dxa"/>
              <w:bottom w:w="90" w:type="dxa"/>
              <w:right w:w="90" w:type="dxa"/>
            </w:tcMar>
            <w:shd w:fill="EAF0F4"/>
          </w:tcPr>
          <w:p>
            <w:pPr>
              <w:spacing w:after="60" w:line="252" w:lineRule="auto"/>
            </w:pPr>
            <w:r>
              <w:rPr>
                <w:b/>
                <w:sz w:val="21"/>
              </w:rPr>
              <w:t>Nhóm kiểm tra</w:t>
            </w:r>
          </w:p>
        </w:tc>
        <w:tc>
          <w:tcPr>
            <w:tcW w:type="dxa" w:w="7488"/>
            <w:tcBorders>
              <w:top w:val="single" w:sz="4" w:color="D9D9D9"/>
              <w:left w:val="single" w:sz="4" w:color="D9D9D9"/>
              <w:bottom w:val="single" w:sz="4" w:color="D9D9D9"/>
              <w:right w:val="single" w:sz="4" w:color="D9D9D9"/>
            </w:tcBorders>
            <w:tcMar>
              <w:top w:w="90" w:type="dxa"/>
              <w:left w:w="90" w:type="dxa"/>
              <w:bottom w:w="90" w:type="dxa"/>
              <w:right w:w="90" w:type="dxa"/>
            </w:tcMar>
            <w:shd w:fill="EAF0F4"/>
          </w:tcPr>
          <w:p>
            <w:pPr>
              <w:spacing w:after="60" w:line="252" w:lineRule="auto"/>
            </w:pPr>
            <w:r>
              <w:rPr>
                <w:b/>
                <w:sz w:val="21"/>
              </w:rPr>
              <w:t>Nội dung đã xác minh</w:t>
            </w:r>
          </w:p>
        </w:tc>
      </w:tr>
      <w:tr>
        <w:trPr>
          <w:cantSplit/>
        </w:trPr>
        <w:tc>
          <w:tcPr>
            <w:tcW w:type="dxa" w:w="259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1"/>
              </w:rPr>
              <w:t>Luồng và quyền</w:t>
            </w:r>
          </w:p>
        </w:tc>
        <w:tc>
          <w:tcPr>
            <w:tcW w:type="dxa" w:w="748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1"/>
              </w:rPr>
              <w:t>Đặt lịch → xác nhận → phân công → di chuyển; role, CSRF, phạm vi đơn, tài khoản bị khóa.</w:t>
            </w:r>
          </w:p>
        </w:tc>
      </w:tr>
      <w:tr>
        <w:trPr>
          <w:cantSplit/>
        </w:trPr>
        <w:tc>
          <w:tcPr>
            <w:tcW w:type="dxa" w:w="259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1"/>
              </w:rPr>
              <w:t>Cân / báo giá</w:t>
            </w:r>
          </w:p>
        </w:tc>
        <w:tc>
          <w:tcPr>
            <w:tcW w:type="dxa" w:w="748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1"/>
              </w:rPr>
              <w:t>Điều chỉnh giữ lịch sử; đủ mọi mặt hàng; giá hiện hành; snapshot; làm tròn từng dòng; chặn tràn tiền.</w:t>
            </w:r>
          </w:p>
        </w:tc>
      </w:tr>
      <w:tr>
        <w:trPr>
          <w:cantSplit/>
        </w:trPr>
        <w:tc>
          <w:tcPr>
            <w:tcW w:type="dxa" w:w="259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1"/>
              </w:rPr>
              <w:t>Khách duyệt</w:t>
            </w:r>
          </w:p>
        </w:tc>
        <w:tc>
          <w:tcPr>
            <w:tcW w:type="dxa" w:w="748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1"/>
              </w:rPr>
              <w:t>Đồng ý, từ chối/gửi lại, version cũ, báo giá cũ, hết hạn đúng ranh giới và trước hạn 1 ms.</w:t>
            </w:r>
          </w:p>
        </w:tc>
      </w:tr>
      <w:tr>
        <w:trPr>
          <w:cantSplit/>
        </w:trPr>
        <w:tc>
          <w:tcPr>
            <w:tcW w:type="dxa" w:w="259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1"/>
              </w:rPr>
              <w:t>Đồng thời / rollback</w:t>
            </w:r>
          </w:p>
        </w:tc>
        <w:tc>
          <w:tcPr>
            <w:tcW w:type="dxa" w:w="748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1"/>
              </w:rPr>
              <w:t>Một request thắng khi gửi lặp, cân so với gửi báo giá, đồng ý so với từ chối; lỗi audit rollback.</w:t>
            </w:r>
          </w:p>
        </w:tc>
      </w:tr>
    </w:tbl>
    <w:p/>
    <w:p>
      <w:r>
        <w:t>Đã thử đổi điều kiện hết hạn: kiểm thử bắt được việc cho đồng ý đúng lúc hết hạn. Mã gốc được khôi phục nguyên byte trước lần verify cuối. Tài khoản, đơn, phiếu cân và báo giá thử đã được dọn; JVM thử đã dừng. Không sử dụng mật khẩu thật của người dùng.</w:t>
      </w:r>
    </w:p>
    <w:p>
      <w:pPr>
        <w:pStyle w:val="Heading2"/>
      </w:pPr>
      <w:r>
        <w:t>Thử trên Postman</w:t>
      </w:r>
    </w:p>
    <w:p>
      <w:pPr>
        <w:pStyle w:val="ListNumber"/>
      </w:pPr>
      <w:r>
        <w:t>Dừng backend cũ bằng Ctrl+C và chạy lại .\scripts\start-local.ps1 trong D:\VCOI\ecothugom-backend để nạp mã mới.</w:t>
      </w:r>
    </w:p>
    <w:p>
      <w:pPr>
        <w:pStyle w:val="ListNumber"/>
      </w:pPr>
      <w:r>
        <w:t>Import docs/collection-workflow-openapi.json. Các request mẫu có ở docs/collection-workflow.http; quy tắc chi tiết ở docs/collection-workflow.md.</w:t>
      </w:r>
    </w:p>
    <w:p>
      <w:pPr>
        <w:pStyle w:val="ListNumber"/>
      </w:pPr>
      <w:r>
        <w:t>Đăng nhập nhân viên được giao một đơn ASSIGNED. GET /api/auth/csrf lấy token mới; giữ cùng host 127.0.0.1:8080 và cookie phiên. Gọi start-trip, arrive, weighings, quotes theo thứ tự.</w:t>
      </w:r>
    </w:p>
    <w:p>
      <w:pPr>
        <w:pStyle w:val="ListNumber"/>
      </w:pPr>
      <w:r>
        <w:t>Đăng nhập chủ đơn, lấy CSRF mới, GET báo giá rồi chọn accept hoặc reject. Dùng ID/version từ response thực; sau mỗi thao tác thành công đọc version mới.</w:t>
      </w:r>
    </w:p>
    <w:p>
      <w:r>
        <w:t>Các kiểm tra tự động thực hiện bằng Maven và HTTP PowerShell; chưa chạy collection bằng Postman CLI. Phần tiếp theo của đồ án là API thanh toán mô phỏng để hoàn tất thu mua, sau khi bạn chọn triển khai.</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23/10/2026  •  Đồ án một đại lý thu mua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55555"/>
        <w:sz w:val="18"/>
      </w:rPr>
      <w:t>ECOTHUGOM  /  BÁO CÁO TRIỂN KHAI API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Arial" w:hAnsi="Arial"/>
      <w:b w:val="0"/>
      <w:i/>
      <w:iCs/>
      <w:color w:val="00000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Arial" w:hAnsi="Arial"/>
      <w:b w:val="0"/>
      <w:bCs/>
      <w:color w:val="000000"/>
      <w:sz w:val="23"/>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EcoThuGom – Báo cáo API thu gom, cân và duyệt báo giá</dc:title>
  <dc:subject>Đồ án hệ thống thương mại điện tử – một đại lý thu mua</dc:subject>
  <dc:creator>EcoThuGom</dc:creator>
  <cp:keywords/>
  <dc:description>generated by python-docx</dc:description>
  <cp:lastModifiedBy/>
  <cp:revision>1</cp:revision>
  <dcterms:created xsi:type="dcterms:W3CDTF">2013-12-23T23:15:00Z</dcterms:created>
  <dcterms:modified xsi:type="dcterms:W3CDTF">2013-12-23T23:15:00Z</dcterms:modified>
  <cp:category/>
</cp:coreProperties>
</file>