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Correspondent Banking Services Agreement (Template)</w:t>
      </w:r>
    </w:p>
    <w:p>
      <w:r>
        <w:t>Synthetic contract template for FIRA development. Lagoon Bank Plc is fictional. Version 0.9.</w:t>
      </w:r>
    </w:p>
    <w:p>
      <w:pPr>
        <w:pStyle w:val="Heading1"/>
      </w:pPr>
      <w:r>
        <w:t>1. Parties</w:t>
      </w:r>
    </w:p>
    <w:p>
      <w:r>
        <w:t>This agreement is made between Lagoon Bank Plc (the Correspondent) and the Respondent institution named in Schedule 1. The parties hereby agree to the terms below.</w:t>
      </w:r>
    </w:p>
    <w:p>
      <w:pPr>
        <w:pStyle w:val="Heading1"/>
      </w:pPr>
      <w:r>
        <w:t>2. Financial Crime Obligations</w:t>
      </w:r>
    </w:p>
    <w:p>
      <w:pPr>
        <w:pStyle w:val="ListNumber"/>
      </w:pPr>
      <w:r>
        <w:t>The Respondent shall maintain an anti-money laundering programme including customer due diligence, transaction monitoring and suspicious activity escalation.</w:t>
      </w:r>
    </w:p>
    <w:p>
      <w:pPr>
        <w:pStyle w:val="ListNumber"/>
      </w:pPr>
      <w:r>
        <w:t>The Respondent shall respond to requests for information about specific transactions within five business days.</w:t>
      </w:r>
    </w:p>
    <w:p>
      <w:pPr>
        <w:pStyle w:val="ListNumber"/>
      </w:pPr>
      <w:r>
        <w:t>The Correspondent may suspend services where the Respondent fails to meet these obligations, subject to the notice provisions in clause 4.</w:t>
      </w:r>
    </w:p>
    <w:p>
      <w:pPr>
        <w:pStyle w:val="Heading1"/>
      </w:pPr>
      <w:r>
        <w:t>3. Service Fees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Payment processing</w:t>
            </w:r>
          </w:p>
        </w:tc>
        <w:tc>
          <w:tcPr>
            <w:tcW w:type="dxa" w:w="4320"/>
          </w:tcPr>
          <w:p>
            <w:r>
              <w:t>USD 4.00 per item</w:t>
            </w:r>
          </w:p>
        </w:tc>
      </w:tr>
      <w:tr>
        <w:tc>
          <w:tcPr>
            <w:tcW w:type="dxa" w:w="4320"/>
          </w:tcPr>
          <w:p>
            <w:r>
              <w:t>Request for information handling</w:t>
            </w:r>
          </w:p>
        </w:tc>
        <w:tc>
          <w:tcPr>
            <w:tcW w:type="dxa" w:w="4320"/>
          </w:tcPr>
          <w:p>
            <w:r>
              <w:t>No charge</w:t>
            </w:r>
          </w:p>
        </w:tc>
      </w:tr>
    </w:tbl>
    <w:p>
      <w:pPr>
        <w:pStyle w:val="Heading1"/>
      </w:pPr>
      <w:r>
        <w:t>4. Termination</w:t>
      </w:r>
    </w:p>
    <w:p>
      <w:r>
        <w:t>Either party may terminate this agreement with ninety days written notice. Governing law is specified in Schedule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Correspondent Banking Services Agreement (Template)</dc:title>
  <dc:subject/>
  <dc:creator>Lagoon Bank Plc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