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IN THE CIRCUIT COURT OF JACKSON COUNTY, MISSOURI</w:t>
      </w:r>
    </w:p>
    <w:p w:rsidR="00000000" w:rsidDel="00000000" w:rsidP="00000000" w:rsidRDefault="00000000" w:rsidRPr="00000000" w14:paraId="00000002">
      <w:pPr>
        <w:widowControl w:val="1"/>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AT KANSAS CITY</w:t>
      </w:r>
    </w:p>
    <w:tbl>
      <w:tblPr>
        <w:tblStyle w:val="Table1"/>
        <w:tblW w:w="9360.0" w:type="dxa"/>
        <w:jc w:val="center"/>
        <w:tblLayout w:type="fixed"/>
        <w:tblLook w:val="0600"/>
      </w:tblPr>
      <w:tblGrid>
        <w:gridCol w:w="4536"/>
        <w:gridCol w:w="288"/>
        <w:gridCol w:w="4536"/>
        <w:tblGridChange w:id="0">
          <w:tblGrid>
            <w:gridCol w:w="4536"/>
            <w:gridCol w:w="288"/>
            <w:gridCol w:w="4536"/>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4">
            <w:pPr>
              <w:rPr>
                <w:rFonts w:ascii="Century Schoolbook" w:cs="Century Schoolbook" w:eastAsia="Century Schoolbook" w:hAnsi="Century Schoolbook"/>
                <w:b w:val="1"/>
                <w:bCs w:val="1"/>
                <w:i w:val="1"/>
                <w:iCs w:val="1"/>
                <w:sz w:val="26"/>
                <w:szCs w:val="26"/>
              </w:rPr>
            </w:pPr>
            <w:r w:rsidDel="00000000" w:rsidR="00000000" w:rsidRPr="00000000">
              <w:rPr>
                <w:rtl w:val="0"/>
              </w:rPr>
            </w:r>
          </w:p>
          <w:p w:rsidR="00000000" w:rsidDel="00000000" w:rsidP="00000000" w:rsidRDefault="00000000" w:rsidRPr="00000000" w14:paraId="00000005">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FERN PAYNE</w:t>
            </w: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6">
            <w:pPr>
              <w:ind w:left="720" w:firstLine="0"/>
              <w:rPr>
                <w:rFonts w:ascii="Century Schoolbook" w:cs="Century Schoolbook" w:eastAsia="Century Schoolbook" w:hAnsi="Century Schoolbook"/>
                <w:b w:val="1"/>
                <w:bCs w:val="1"/>
                <w:i w:val="1"/>
                <w:iCs w:val="1"/>
                <w:sz w:val="26"/>
                <w:szCs w:val="26"/>
              </w:rPr>
            </w:pPr>
            <w:r w:rsidDel="00000000" w:rsidR="00000000" w:rsidRPr="00000000">
              <w:rPr>
                <w:rtl w:val="0"/>
              </w:rPr>
            </w:r>
          </w:p>
          <w:p w:rsidR="00000000" w:rsidDel="00000000" w:rsidP="00000000" w:rsidRDefault="00000000" w:rsidRPr="00000000" w14:paraId="00000007">
            <w:pPr>
              <w:ind w:left="72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Plaintiff</w:t>
            </w: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8">
            <w:pPr>
              <w:ind w:left="720" w:firstLine="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9">
            <w:pPr>
              <w:ind w:left="720" w:firstLine="0"/>
              <w:rPr>
                <w:rFonts w:ascii="Century Schoolbook" w:cs="Century Schoolbook" w:eastAsia="Century Schoolbook" w:hAnsi="Century Schoolbook"/>
                <w:b w:val="1"/>
                <w:bCs w:val="1"/>
                <w:i w:val="1"/>
                <w:iCs w:val="1"/>
                <w:sz w:val="26"/>
                <w:szCs w:val="26"/>
              </w:rPr>
            </w:pPr>
            <w:r w:rsidDel="00000000" w:rsidR="00000000" w:rsidRPr="00000000">
              <w:rPr>
                <w:rFonts w:ascii="Century Schoolbook" w:cs="Century Schoolbook" w:eastAsia="Century Schoolbook" w:hAnsi="Century Schoolbook"/>
                <w:i w:val="1"/>
                <w:iCs w:val="1"/>
                <w:sz w:val="26"/>
                <w:szCs w:val="26"/>
                <w:rtl w:val="0"/>
              </w:rPr>
              <w:t xml:space="preserve">v.</w:t>
            </w:r>
            <w:r w:rsidDel="00000000" w:rsidR="00000000" w:rsidRPr="00000000">
              <w:rPr>
                <w:rFonts w:ascii="Century Schoolbook" w:cs="Century Schoolbook" w:eastAsia="Century Schoolbook" w:hAnsi="Century Schoolbook"/>
                <w:b w:val="1"/>
                <w:bCs w:val="1"/>
                <w:i w:val="1"/>
                <w:iCs w:val="1"/>
                <w:sz w:val="26"/>
                <w:szCs w:val="26"/>
                <w:rtl w:val="0"/>
              </w:rPr>
              <w:t xml:space="preserve"> </w:t>
            </w:r>
          </w:p>
          <w:p w:rsidR="00000000" w:rsidDel="00000000" w:rsidP="00000000" w:rsidRDefault="00000000" w:rsidRPr="00000000" w14:paraId="0000000A">
            <w:pPr>
              <w:ind w:left="720" w:firstLine="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B">
            <w:pPr>
              <w:widowControl w:val="1"/>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THE METROPOLITAN</w:t>
            </w:r>
          </w:p>
          <w:p w:rsidR="00000000" w:rsidDel="00000000" w:rsidP="00000000" w:rsidRDefault="00000000" w:rsidRPr="00000000" w14:paraId="0000000C">
            <w:pPr>
              <w:widowControl w:val="1"/>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COMMUNITY COLLEGE</w:t>
            </w:r>
          </w:p>
          <w:p w:rsidR="00000000" w:rsidDel="00000000" w:rsidP="00000000" w:rsidRDefault="00000000" w:rsidRPr="00000000" w14:paraId="0000000D">
            <w:pPr>
              <w:rPr>
                <w:rFonts w:ascii="Century Schoolbook" w:cs="Century Schoolbook" w:eastAsia="Century Schoolbook" w:hAnsi="Century Schoolbook"/>
                <w:i w:val="1"/>
                <w:i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FOUNDATION </w:t>
            </w:r>
            <w:r w:rsidDel="00000000" w:rsidR="00000000" w:rsidRPr="00000000">
              <w:rPr>
                <w:rFonts w:ascii="Century Schoolbook" w:cs="Century Schoolbook" w:eastAsia="Century Schoolbook" w:hAnsi="Century Schoolbook"/>
                <w:i w:val="1"/>
                <w:iCs w:val="1"/>
                <w:sz w:val="26"/>
                <w:szCs w:val="26"/>
                <w:rtl w:val="0"/>
              </w:rPr>
              <w:t xml:space="preserve">et al.</w:t>
            </w:r>
            <w:r w:rsidDel="00000000" w:rsidR="00000000" w:rsidRPr="00000000">
              <w:rPr>
                <w:rFonts w:ascii="Century Schoolbook" w:cs="Century Schoolbook" w:eastAsia="Century Schoolbook" w:hAnsi="Century Schoolbook"/>
                <w:b w:val="1"/>
                <w:bCs w:val="1"/>
                <w:sz w:val="26"/>
                <w:szCs w:val="26"/>
                <w:rtl w:val="0"/>
              </w:rPr>
              <w:t xml:space="preserve">,</w:t>
            </w:r>
            <w:r w:rsidDel="00000000" w:rsidR="00000000" w:rsidRPr="00000000">
              <w:rPr>
                <w:rtl w:val="0"/>
              </w:rPr>
            </w:r>
          </w:p>
          <w:p w:rsidR="00000000" w:rsidDel="00000000" w:rsidP="00000000" w:rsidRDefault="00000000" w:rsidRPr="00000000" w14:paraId="0000000E">
            <w:pPr>
              <w:ind w:left="72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r>
          </w:p>
          <w:p w:rsidR="00000000" w:rsidDel="00000000" w:rsidP="00000000" w:rsidRDefault="00000000" w:rsidRPr="00000000" w14:paraId="0000000F">
            <w:pPr>
              <w:widowControl w:val="1"/>
              <w:ind w:left="720" w:firstLine="0"/>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i w:val="1"/>
                <w:iCs w:val="1"/>
                <w:sz w:val="26"/>
                <w:szCs w:val="26"/>
                <w:rtl w:val="0"/>
              </w:rPr>
              <w:t xml:space="preserve">Defendants.</w:t>
            </w:r>
            <w:r w:rsidDel="00000000" w:rsidR="00000000" w:rsidRPr="00000000">
              <w:rPr>
                <w:rFonts w:ascii="Century Schoolbook" w:cs="Century Schoolbook" w:eastAsia="Century Schoolbook" w:hAnsi="Century Schoolbook"/>
                <w:b w:val="1"/>
                <w:bCs w:val="1"/>
                <w:sz w:val="26"/>
                <w:szCs w:val="26"/>
                <w:rtl w:val="0"/>
              </w:rPr>
              <w:tab/>
              <w:tab/>
              <w:tab/>
            </w:r>
          </w:p>
          <w:p w:rsidR="00000000" w:rsidDel="00000000" w:rsidP="00000000" w:rsidRDefault="00000000" w:rsidRPr="00000000" w14:paraId="00000010">
            <w:pPr>
              <w:widowControl w:val="1"/>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2">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3">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4">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5">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6">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7">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8">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9">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A">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B">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C">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D">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F">
            <w:pPr>
              <w:jc w:val="center"/>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0">
            <w:pPr>
              <w:jc w:val="center"/>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1">
            <w:pPr>
              <w:jc w:val="center"/>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2">
            <w:pPr>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3">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Case No.: 2616-CV12184</w:t>
            </w:r>
          </w:p>
          <w:p w:rsidR="00000000" w:rsidDel="00000000" w:rsidP="00000000" w:rsidRDefault="00000000" w:rsidRPr="00000000" w14:paraId="00000024">
            <w:pPr>
              <w:jc w:val="cente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5">
            <w:pPr>
              <w:jc w:val="cente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6">
            <w:pPr>
              <w:jc w:val="cente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7">
            <w:pPr>
              <w:jc w:val="center"/>
              <w:rPr>
                <w:rFonts w:ascii="Century Schoolbook" w:cs="Century Schoolbook" w:eastAsia="Century Schoolbook" w:hAnsi="Century Schoolbook"/>
                <w:b w:val="1"/>
                <w:bCs w:val="1"/>
                <w:sz w:val="26"/>
                <w:szCs w:val="26"/>
              </w:rPr>
            </w:pPr>
            <w:r w:rsidDel="00000000" w:rsidR="00000000" w:rsidRPr="00000000">
              <w:rPr>
                <w:rtl w:val="0"/>
              </w:rPr>
            </w:r>
          </w:p>
        </w:tc>
      </w:tr>
    </w:tbl>
    <w:p w:rsidR="00000000" w:rsidDel="00000000" w:rsidP="00000000" w:rsidRDefault="00000000" w:rsidRPr="00000000" w14:paraId="00000028">
      <w:pPr>
        <w:widowControl w:val="1"/>
        <w:pBdr>
          <w:bottom w:color="000000" w:space="2" w:sz="8" w:val="single"/>
        </w:pBdr>
        <w:spacing w:before="200" w:lineRule="auto"/>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PLAINTIFF’S PROPOSED PROTECTIVE ORDER</w:t>
      </w:r>
    </w:p>
    <w:p w:rsidR="00000000" w:rsidDel="00000000" w:rsidP="00000000" w:rsidRDefault="00000000" w:rsidRPr="00000000" w14:paraId="00000029">
      <w:pPr>
        <w:widowControl w:val="1"/>
        <w:spacing w:after="0" w:before="240"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allegations and defenses in this case may put at issue information, documents, or materials that may be confidential and, as such, subject to limitations on disclosure under federal law, state law, or the right to privacy of Plaintiff Fern Payne and The Metropolitan Community College Foundation, Metropolitan Community College, and The Junior College District of Metropolitan Kansas City (collectively “MCC” and / or “Defendants”). </w:t>
      </w:r>
    </w:p>
    <w:p w:rsidR="00000000" w:rsidDel="00000000" w:rsidP="00000000" w:rsidRDefault="00000000" w:rsidRPr="00000000" w14:paraId="0000002A">
      <w:pPr>
        <w:widowControl w:val="1"/>
        <w:spacing w:after="240" w:before="0"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desire by one or more Parties to protect the confidentiality of this information and disclose it only in designated ways is good cause for the entry of the present protective order. Accordingly, the Court enters the following order:</w:t>
      </w:r>
    </w:p>
    <w:p w:rsidR="00000000" w:rsidDel="00000000" w:rsidP="00000000" w:rsidRDefault="00000000" w:rsidRPr="00000000" w14:paraId="0000002B">
      <w:pPr>
        <w:widowControl w:val="1"/>
        <w:spacing w:after="240" w:before="240" w:line="480" w:lineRule="auto"/>
        <w:jc w:val="center"/>
        <w:rPr>
          <w:rFonts w:ascii="Century Schoolbook" w:cs="Century Schoolbook" w:eastAsia="Century Schoolbook" w:hAnsi="Century Schoolbook"/>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2C">
      <w:pPr>
        <w:widowControl w:val="1"/>
        <w:spacing w:line="48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u w:val="single"/>
          <w:rtl w:val="0"/>
        </w:rPr>
        <w:t xml:space="preserve">Definitions</w:t>
      </w:r>
      <w:r w:rsidDel="00000000" w:rsidR="00000000" w:rsidRPr="00000000">
        <w:rPr>
          <w:rtl w:val="0"/>
        </w:rPr>
      </w:r>
    </w:p>
    <w:p w:rsidR="00000000" w:rsidDel="00000000" w:rsidP="00000000" w:rsidRDefault="00000000" w:rsidRPr="00000000" w14:paraId="0000002D">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 The words set forth below shall have the following meanings in this Protective Order:</w:t>
      </w:r>
    </w:p>
    <w:p w:rsidR="00000000" w:rsidDel="00000000" w:rsidP="00000000" w:rsidRDefault="00000000" w:rsidRPr="00000000" w14:paraId="0000002E">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  “Action” means the above-entitled proceedings: </w:t>
      </w:r>
      <w:r w:rsidDel="00000000" w:rsidR="00000000" w:rsidRPr="00000000">
        <w:rPr>
          <w:rFonts w:ascii="Century Schoolbook" w:cs="Century Schoolbook" w:eastAsia="Century Schoolbook" w:hAnsi="Century Schoolbook"/>
          <w:i w:val="1"/>
          <w:iCs w:val="1"/>
          <w:sz w:val="26"/>
          <w:szCs w:val="26"/>
          <w:rtl w:val="0"/>
        </w:rPr>
        <w:t xml:space="preserve">Fern Payne V. The Metropolitan Community College Foundation, Case No. 2616-CV12184 </w:t>
      </w:r>
      <w:r w:rsidDel="00000000" w:rsidR="00000000" w:rsidRPr="00000000">
        <w:rPr>
          <w:rFonts w:ascii="Century Schoolbook" w:cs="Century Schoolbook" w:eastAsia="Century Schoolbook" w:hAnsi="Century Schoolbook"/>
          <w:sz w:val="26"/>
          <w:szCs w:val="26"/>
          <w:rtl w:val="0"/>
        </w:rPr>
        <w:t xml:space="preserve">and any appeals therefrom.</w:t>
      </w:r>
    </w:p>
    <w:p w:rsidR="00000000" w:rsidDel="00000000" w:rsidP="00000000" w:rsidRDefault="00000000" w:rsidRPr="00000000" w14:paraId="0000002F">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b.  “Attorneys” means counsel of record in this Action, and their employees and staff.</w:t>
      </w:r>
    </w:p>
    <w:p w:rsidR="00000000" w:rsidDel="00000000" w:rsidP="00000000" w:rsidRDefault="00000000" w:rsidRPr="00000000" w14:paraId="00000030">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c.   “Confidential Materials” means any documents, testimony, or information which a Designating Party believes in good faith and in line with the Missouri Constitution are entitled to confidential treatment under the law. Specifically, this includes tax information, bona fide trade secrets, non-public financial data, medical records, Social Security numbers, and/or the names of minor children.</w:t>
      </w:r>
    </w:p>
    <w:p w:rsidR="00000000" w:rsidDel="00000000" w:rsidP="00000000" w:rsidRDefault="00000000" w:rsidRPr="00000000" w14:paraId="00000031">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  “Designating Party” or “Producing Party” means the Party that designates any documents, testimony, or information as “Confidential Materials.”</w:t>
      </w:r>
    </w:p>
    <w:p w:rsidR="00000000" w:rsidDel="00000000" w:rsidP="00000000" w:rsidRDefault="00000000" w:rsidRPr="00000000" w14:paraId="00000032">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  “Disclose” or “Disclosed” or “Disclosure” means to reveal, divulge, produce, give, transfer, communicate, or otherwise make available Confidential Materials or any part thereof or any information contained therein.  It does not include Court filings or use of materials designated as “Confidential” in a hearing or a trial.</w:t>
      </w:r>
    </w:p>
    <w:p w:rsidR="00000000" w:rsidDel="00000000" w:rsidP="00000000" w:rsidRDefault="00000000" w:rsidRPr="00000000" w14:paraId="00000033">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f.  “Documents” means any materials within the scope of Mo. R. Civ. P. 58.</w:t>
      </w:r>
    </w:p>
    <w:p w:rsidR="00000000" w:rsidDel="00000000" w:rsidP="00000000" w:rsidRDefault="00000000" w:rsidRPr="00000000" w14:paraId="00000034">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g.   “Expert” means a person with specialized knowledge or experience in a matter pertinent to this Action who has been retained by a Party or its counsel to serve as an expert witness or as a consultant in this Action (whether or not retained to testify at any oral hearing) and who is not a past or current employee of any Party.  This definition includes a professional jury or trial consultant and/or a doctor or medical provider or treater.</w:t>
      </w:r>
    </w:p>
    <w:p w:rsidR="00000000" w:rsidDel="00000000" w:rsidP="00000000" w:rsidRDefault="00000000" w:rsidRPr="00000000" w14:paraId="00000035">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  “Materials” means any Documents, information, testimony, data, or other tangible or intangible items Disclosed in this Action.</w:t>
      </w:r>
    </w:p>
    <w:p w:rsidR="00000000" w:rsidDel="00000000" w:rsidP="00000000" w:rsidRDefault="00000000" w:rsidRPr="00000000" w14:paraId="00000036">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  “Party” means Plaintiff Fern Payne, Defendants, or any person acting as an agent or representative thereof.</w:t>
      </w:r>
    </w:p>
    <w:p w:rsidR="00000000" w:rsidDel="00000000" w:rsidP="00000000" w:rsidRDefault="00000000" w:rsidRPr="00000000" w14:paraId="00000037">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  “Professional Vendor” means a person or entity that provides litigation support services (</w:t>
      </w:r>
      <w:r w:rsidDel="00000000" w:rsidR="00000000" w:rsidRPr="00000000">
        <w:rPr>
          <w:rFonts w:ascii="Century Schoolbook" w:cs="Century Schoolbook" w:eastAsia="Century Schoolbook" w:hAnsi="Century Schoolbook"/>
          <w:i w:val="1"/>
          <w:iCs w:val="1"/>
          <w:sz w:val="26"/>
          <w:szCs w:val="26"/>
          <w:rtl w:val="0"/>
        </w:rPr>
        <w:t xml:space="preserve">e.g.</w:t>
      </w:r>
      <w:r w:rsidDel="00000000" w:rsidR="00000000" w:rsidRPr="00000000">
        <w:rPr>
          <w:rFonts w:ascii="Century Schoolbook" w:cs="Century Schoolbook" w:eastAsia="Century Schoolbook" w:hAnsi="Century Schoolbook"/>
          <w:sz w:val="26"/>
          <w:szCs w:val="26"/>
          <w:rtl w:val="0"/>
        </w:rPr>
        <w:t xml:space="preserve">, photocopying, videotaping, translating, preparing exhibits or demonstrations, organizing, storing, retrieving, or copying data in any form or medium, etc</w:t>
      </w:r>
      <w:r w:rsidDel="00000000" w:rsidR="00000000" w:rsidRPr="00000000">
        <w:rPr>
          <w:rFonts w:ascii="Century Schoolbook" w:cs="Century Schoolbook" w:eastAsia="Century Schoolbook" w:hAnsi="Century Schoolbook"/>
          <w:i w:val="1"/>
          <w:iCs w:val="1"/>
          <w:sz w:val="26"/>
          <w:szCs w:val="26"/>
          <w:rtl w:val="0"/>
        </w:rPr>
        <w:t xml:space="preserve">.</w:t>
      </w:r>
      <w:r w:rsidDel="00000000" w:rsidR="00000000" w:rsidRPr="00000000">
        <w:rPr>
          <w:rFonts w:ascii="Century Schoolbook" w:cs="Century Schoolbook" w:eastAsia="Century Schoolbook" w:hAnsi="Century Schoolbook"/>
          <w:sz w:val="26"/>
          <w:szCs w:val="26"/>
          <w:rtl w:val="0"/>
        </w:rPr>
        <w:t xml:space="preserve">) and its employees and subcontractors; or a person or entity who is a private investigator, or serves process and/or documents, and its employees and subcontractors; or a person or entity who serves as a jury consultant or other case-related vendor and its employees and subcontractors.</w:t>
      </w:r>
    </w:p>
    <w:p w:rsidR="00000000" w:rsidDel="00000000" w:rsidP="00000000" w:rsidRDefault="00000000" w:rsidRPr="00000000" w14:paraId="00000038">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  “Witness” means a person who may have discoverable information or who may be called as a witness to trial.</w:t>
      </w:r>
    </w:p>
    <w:p w:rsidR="00000000" w:rsidDel="00000000" w:rsidP="00000000" w:rsidRDefault="00000000" w:rsidRPr="00000000" w14:paraId="00000039">
      <w:pPr>
        <w:widowControl w:val="1"/>
        <w:spacing w:line="48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u w:val="single"/>
          <w:rtl w:val="0"/>
        </w:rPr>
        <w:t xml:space="preserve">Rights To Designate</w:t>
      </w:r>
      <w:r w:rsidDel="00000000" w:rsidR="00000000" w:rsidRPr="00000000">
        <w:rPr>
          <w:rtl w:val="0"/>
        </w:rPr>
      </w:r>
    </w:p>
    <w:p w:rsidR="00000000" w:rsidDel="00000000" w:rsidP="00000000" w:rsidRDefault="00000000" w:rsidRPr="00000000" w14:paraId="0000003A">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2.   Any Party shall have the right to designate as “Confidential” any Materials that it believes in good faith and with good reason are Confidential Materials under the terms and definitions of this order.   </w:t>
      </w:r>
    </w:p>
    <w:p w:rsidR="00000000" w:rsidDel="00000000" w:rsidP="00000000" w:rsidRDefault="00000000" w:rsidRPr="00000000" w14:paraId="0000003B">
      <w:pPr>
        <w:widowControl w:val="1"/>
        <w:spacing w:line="48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u w:val="single"/>
          <w:rtl w:val="0"/>
        </w:rPr>
        <w:t xml:space="preserve">Process for Designating &amp; Challenging Designations</w:t>
      </w:r>
      <w:r w:rsidDel="00000000" w:rsidR="00000000" w:rsidRPr="00000000">
        <w:rPr>
          <w:rtl w:val="0"/>
        </w:rPr>
      </w:r>
    </w:p>
    <w:p w:rsidR="00000000" w:rsidDel="00000000" w:rsidP="00000000" w:rsidRDefault="00000000" w:rsidRPr="00000000" w14:paraId="0000003C">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3.  Any Materials to be designated as “Confidential” must be clearly so designated before or at the time they are Disclosed, subject to the exceptions provided for.  The Designating Party must provide a “Designation Log” of all Confidential materials with their Bates numbers/Exhibit numbers (if used in a deposition or motion), title, and reason for Confidential designation.  This log must be updated and re-produced within 14 days of each new Confidential designation.  However, it will be presumed that Social Security numbers are Confidential and documents containing Social Security numbers need not be marked or placed on the “Designation Log.”</w:t>
      </w:r>
    </w:p>
    <w:p w:rsidR="00000000" w:rsidDel="00000000" w:rsidP="00000000" w:rsidRDefault="00000000" w:rsidRPr="00000000" w14:paraId="0000003D">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  Documents:  The Designating Party must affix the word “Confidential” on each page of any Document to be designated as a “Confidential Material.”   Each and every page that is confidential must be designated as such or it is not confidential. The “Confidential” designation should not obscure or interfere with the legibility of the designated Materials.  </w:t>
      </w:r>
    </w:p>
    <w:p w:rsidR="00000000" w:rsidDel="00000000" w:rsidP="00000000" w:rsidRDefault="00000000" w:rsidRPr="00000000" w14:paraId="0000003E">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5.  Testimony:  Before the close of the deposition, while on the record, the Designating Party shall identify any testimony or exhibits to be designated as “Confidential,” whether this be specific portions of the testimony, specific exhibits referenced thereto, or the testimony and exhibits in their entirety.  The non-Designating Party will have an opportunity to make its objections on the record. If no designations are made before the close of the deposition, the Designating Party may also designate testimony as “Confidential” by written notice to the other party within 14 days of its receipt of the transcript and exhibits. Exhibits previously designated as “Confidential” Documents need not be re-designated.</w:t>
      </w:r>
    </w:p>
    <w:p w:rsidR="00000000" w:rsidDel="00000000" w:rsidP="00000000" w:rsidRDefault="00000000" w:rsidRPr="00000000" w14:paraId="0000003F">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6.  Other Materials:  For any Materials not addressed above, the Designating Party shall make the designation by distributing to all Parties a written document specifying what portions of the Materials are to be designated as “Confidential.”  The written document identifying the proper designations must be disseminated before or at the time the Materials are Disclosed.</w:t>
      </w:r>
    </w:p>
    <w:p w:rsidR="00000000" w:rsidDel="00000000" w:rsidP="00000000" w:rsidRDefault="00000000" w:rsidRPr="00000000" w14:paraId="00000040">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7.  In the event a Party produces a large volume of Materials for inspection, no designation of confidentiality need be made by the producing Party in advance of the initial inspection.  For purposes of the initial inspection, all Materials shall be treated as “Confidential Materials” for a period of 14 days.  Thereafter, upon selection by inspecting Party of specified Materials for copying, the producing Party shall make the designations in accordance with the procedures specified in paragraphs in this Order.</w:t>
      </w:r>
    </w:p>
    <w:p w:rsidR="00000000" w:rsidDel="00000000" w:rsidP="00000000" w:rsidRDefault="00000000" w:rsidRPr="00000000" w14:paraId="00000041">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8.  Challenging Designations:  In the event that counsel for a Party receiving Materials designated as “Confidential” objects to such designation with respect to any or all such Materials, the Parties shall first try to resolve such dispute in good faith on an informal basis.  If the dispute cannot be resolved informally, counsel for Party objecting to the designations shall advise counsel for the Designating Party, in writing, of its objections, the specific Materials to which each objection pertains, and the specific reasons and support for such objections (the “Designation Objections”).  Counsel for the Designating Party shall have thirty (30) days from receipt of the written Designation Objections to either (a) agree in writing to de-designate the Materials pursuant to any or all of the Designation Objections and/or (b) provide in writing brief explanations supporting its choice of designation for the Materials in question.  If the Party objecting to the Designations remains dissatisfied, it may apply for appropriate relief with the Court (the “Designation Motion”). The Designating Party shall have the burden of establishing that the Materials are entitled to their “Confidential” designations.  Pending a resolution of the Designation Motion by this Court, any and all existing designations of the Materials at issue in such Motion shall remain in place.      </w:t>
      </w:r>
    </w:p>
    <w:p w:rsidR="00000000" w:rsidDel="00000000" w:rsidP="00000000" w:rsidRDefault="00000000" w:rsidRPr="00000000" w14:paraId="00000042">
      <w:pPr>
        <w:widowControl w:val="1"/>
        <w:spacing w:line="48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u w:val="single"/>
          <w:rtl w:val="0"/>
        </w:rPr>
        <w:t xml:space="preserve">Access to Designated Materials</w:t>
      </w:r>
      <w:r w:rsidDel="00000000" w:rsidR="00000000" w:rsidRPr="00000000">
        <w:rPr>
          <w:rtl w:val="0"/>
        </w:rPr>
      </w:r>
    </w:p>
    <w:p w:rsidR="00000000" w:rsidDel="00000000" w:rsidP="00000000" w:rsidRDefault="00000000" w:rsidRPr="00000000" w14:paraId="00000043">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9.  Access to and/or Disclosure of Confidential Materials shall be permitted only to the following persons or entities:</w:t>
      </w:r>
    </w:p>
    <w:p w:rsidR="00000000" w:rsidDel="00000000" w:rsidP="00000000" w:rsidRDefault="00000000" w:rsidRPr="00000000" w14:paraId="00000044">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    the Court (and its staff and employees);</w:t>
      </w:r>
    </w:p>
    <w:p w:rsidR="00000000" w:rsidDel="00000000" w:rsidP="00000000" w:rsidRDefault="00000000" w:rsidRPr="00000000" w14:paraId="00000045">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b.  (1) Attorneys (including their affiliated attorneys, paralegals, clerical and secretarial staff employed by such attorneys who are actively involved in the Action and are not employees of any Party); and (2) in-house counsel to the undersigned Parties and the paralegal, clerical and secretarial staff employed by such counsel; </w:t>
      </w:r>
    </w:p>
    <w:p w:rsidR="00000000" w:rsidDel="00000000" w:rsidP="00000000" w:rsidRDefault="00000000" w:rsidRPr="00000000" w14:paraId="00000046">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c.   those individuals who are Parties or those officers, directors, partners, members, employees, close family members, and agents of all non-Designating Parties that counsel for such Parties deems necessary to aid counsel in the prosecution and defense of this Action; provided, however, that prior to the Disclosure of Confidential Materials to any such individuals who are Parties or any such officer, director, partner, member, employee or agent, counsel for the Party making the Disclosure shall explain this Protective Order to such person and shall explain that such person is bound to follow the terms of such Order.</w:t>
      </w:r>
    </w:p>
    <w:p w:rsidR="00000000" w:rsidDel="00000000" w:rsidP="00000000" w:rsidRDefault="00000000" w:rsidRPr="00000000" w14:paraId="00000047">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  court reporters or videographers in this Action (whether at depositions, hearings, or any other proceeding);</w:t>
      </w:r>
    </w:p>
    <w:p w:rsidR="00000000" w:rsidDel="00000000" w:rsidP="00000000" w:rsidRDefault="00000000" w:rsidRPr="00000000" w14:paraId="00000048">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   any person shown on the face of a Document to have authored, received, seen, or referenced in the Materials designated “Confidential;” or alternately, any person who is known (through discovery or good faith beliefs) to have authored, received, or seen the Materials designated “Confidential.”</w:t>
      </w:r>
    </w:p>
    <w:p w:rsidR="00000000" w:rsidDel="00000000" w:rsidP="00000000" w:rsidRDefault="00000000" w:rsidRPr="00000000" w14:paraId="00000049">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f.   any potential or actual deposition, trial, or hearing witness in the Action who previously has had access to the Confidential Materials, or who is currently or was previously an officer, director, partner, member, employee or agent of an entity that has had access to the Confidential Materials;</w:t>
      </w:r>
    </w:p>
    <w:p w:rsidR="00000000" w:rsidDel="00000000" w:rsidP="00000000" w:rsidRDefault="00000000" w:rsidRPr="00000000" w14:paraId="0000004A">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g.   Professional Vendors;</w:t>
      </w:r>
    </w:p>
    <w:p w:rsidR="00000000" w:rsidDel="00000000" w:rsidP="00000000" w:rsidRDefault="00000000" w:rsidRPr="00000000" w14:paraId="0000004B">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  mediators and/or arbitrators (including their employees and staff) the Parties retain in connection with this Action;</w:t>
      </w:r>
    </w:p>
    <w:p w:rsidR="00000000" w:rsidDel="00000000" w:rsidP="00000000" w:rsidRDefault="00000000" w:rsidRPr="00000000" w14:paraId="0000004C">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  any witness in the Action who previously did not have access to the Confidential Materials; provided, however, that each such witness given access to Confidential Materials shall be advised that such materials are being Disclosed pursuant to, and are subject to, the terms of this Protective Order and that they may not be Disclosed other than pursuant to its terms;</w:t>
      </w:r>
    </w:p>
    <w:p w:rsidR="00000000" w:rsidDel="00000000" w:rsidP="00000000" w:rsidRDefault="00000000" w:rsidRPr="00000000" w14:paraId="0000004D">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  mock jury participants; provided, however, that prior to the Disclosure of Confidential Materials to any such mock jury participant, counsel for the Party making the Disclosure shall explain the terms of the Protective Order to each person and secure their compliance with it.  </w:t>
      </w:r>
    </w:p>
    <w:p w:rsidR="00000000" w:rsidDel="00000000" w:rsidP="00000000" w:rsidRDefault="00000000" w:rsidRPr="00000000" w14:paraId="0000004E">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  Experts and the clerical staff in their employ; provided, however, that prior to the Disclosure of Confidential Materials to any such Expert or clerical staff, counsel for the Party making the Disclosure shall disclose the existence of a Protective Order to such person and shall explain its terms to such person; and</w:t>
      </w:r>
    </w:p>
    <w:p w:rsidR="00000000" w:rsidDel="00000000" w:rsidP="00000000" w:rsidRDefault="00000000" w:rsidRPr="00000000" w14:paraId="0000004F">
      <w:pPr>
        <w:widowControl w:val="1"/>
        <w:spacing w:line="480" w:lineRule="auto"/>
        <w:ind w:left="360" w:right="360" w:firstLine="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l.  Any other person or entity that Parties agree to in writing.</w:t>
      </w:r>
    </w:p>
    <w:p w:rsidR="00000000" w:rsidDel="00000000" w:rsidP="00000000" w:rsidRDefault="00000000" w:rsidRPr="00000000" w14:paraId="00000050">
      <w:pPr>
        <w:widowControl w:val="1"/>
        <w:spacing w:line="48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u w:val="single"/>
          <w:rtl w:val="0"/>
        </w:rPr>
        <w:t xml:space="preserve">Use of Designated Materials</w:t>
      </w:r>
      <w:r w:rsidDel="00000000" w:rsidR="00000000" w:rsidRPr="00000000">
        <w:rPr>
          <w:rtl w:val="0"/>
        </w:rPr>
      </w:r>
    </w:p>
    <w:p w:rsidR="00000000" w:rsidDel="00000000" w:rsidP="00000000" w:rsidRDefault="00000000" w:rsidRPr="00000000" w14:paraId="00000051">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10.  Confidential Materials shall be used by the persons or entities receiving them only for the purposes of preparing for, conducting, participating in the conduct of, and/or prosecuting and/or defending the Action.</w:t>
      </w:r>
    </w:p>
    <w:p w:rsidR="00000000" w:rsidDel="00000000" w:rsidP="00000000" w:rsidRDefault="00000000" w:rsidRPr="00000000" w14:paraId="00000052">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11.  The entry of this Protective Order does not alter, waive, modify, or abridge any right, privilege, or protection otherwise available to any Party with respect to the discovery of matters, including but not limited to any Party’s right to assert the attorney-client privilege, the attorney work product doctrine, or any other privileges, protections or privacy rights, or any Party’s right to contest any such assertion. </w:t>
      </w:r>
    </w:p>
    <w:p w:rsidR="00000000" w:rsidDel="00000000" w:rsidP="00000000" w:rsidRDefault="00000000" w:rsidRPr="00000000" w14:paraId="00000053">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12.  Parties shall take reasonable steps to file any Confidential material with the Court with an appropriate designation of confidentiality, either by making an appropriate e-filing Note to Clerk on Casenet, emailing the Confidential material directly to the Court, or moving for leave to file Confidential material under seal.  The parties and Court recognize that under Missouri law, there is a strong presumption of public access to court records, and the fact that a document has been filed confidentially is not binding on the Court. Further, by filing Confidential material with the Court in a non-public manner, a party is not waiving the right to raise to the Court that the party believes the material should be public. If a Party inadvertently files a document containing Confidential Materials with the Court, the burden falls upon the Designating/Producing Party to file a motion to seal with the Court, and any disputes about filing of such material shall first be discussed by the Parties.  Any party shall have a reasonable opportunity, after a dispute is raised, to cure any alleged failure to follow the provisions of this Order before recourse is made to the Court. </w:t>
      </w:r>
    </w:p>
    <w:p w:rsidR="00000000" w:rsidDel="00000000" w:rsidP="00000000" w:rsidRDefault="00000000" w:rsidRPr="00000000" w14:paraId="00000054">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13.  Confidential Materials may be redesignated as not Confidential after they are used at a hearing or in trial.</w:t>
      </w:r>
    </w:p>
    <w:p w:rsidR="00000000" w:rsidDel="00000000" w:rsidP="00000000" w:rsidRDefault="00000000" w:rsidRPr="00000000" w14:paraId="00000055">
      <w:pPr>
        <w:widowControl w:val="1"/>
        <w:spacing w:line="480" w:lineRule="auto"/>
        <w:ind w:lef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56">
      <w:pPr>
        <w:widowControl w:val="1"/>
        <w:spacing w:line="480" w:lineRule="auto"/>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Inadvertent Failure to Designate/Inadvertent Disclosure</w:t>
      </w:r>
    </w:p>
    <w:p w:rsidR="00000000" w:rsidDel="00000000" w:rsidP="00000000" w:rsidRDefault="00000000" w:rsidRPr="00000000" w14:paraId="00000057">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14.  The inadvertent Disclosure by any of the Parties or non-Parties of any Materials in this Action without a “Confidential” designation, shall be without prejudice to any claim that such Materials are “Confidential” and such Party shall not be held to have waived any rights by such inadvertent Disclosure.</w:t>
      </w:r>
    </w:p>
    <w:p w:rsidR="00000000" w:rsidDel="00000000" w:rsidP="00000000" w:rsidRDefault="00000000" w:rsidRPr="00000000" w14:paraId="00000058">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15.  The inadvertent Disclosure of Materials subject to the attorney-client privilege, attorney work product doctrine, or other applicable privileges shall not be deemed a waiver of any privilege or doctrine or protection.</w:t>
      </w:r>
    </w:p>
    <w:p w:rsidR="00000000" w:rsidDel="00000000" w:rsidP="00000000" w:rsidRDefault="00000000" w:rsidRPr="00000000" w14:paraId="00000059">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16.  Whenever counsel receives Materials that obviously appear to be subject to the attorney-client privilege, work production doctrine, or other applicable privileges and where it is reasonably apparent that the Materials were provided or made available through inadvertence, the lawyer receiving such Materials should refrain from examining them any more than is essential to ascertain if they are privileged, and shall immediately notify the sender that he or she possesses Materials that appear to be privileged.  The receiving lawyer shall also destroy all copies of the privileged, inadvertently disclosed Materials.</w:t>
      </w:r>
    </w:p>
    <w:p w:rsidR="00000000" w:rsidDel="00000000" w:rsidP="00000000" w:rsidRDefault="00000000" w:rsidRPr="00000000" w14:paraId="0000005A">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17.  In the event of an inadvertent Disclosure of Materials subject to the attorney-client privilege, the work product doctrine, or other applicable privilege, the producing Party may give written notice to the receiving Parties that the Materials are privileged or immune from discovery, stating the grounds for such privilege or immunity, and request that they be returned to the producing Party.  The producing Party shall give such notice as soon as practicable after discovering the inadvertent Disclosure.  Immediately upon receiving such notice, the receiving Parties may not use the alleged privileged Materials, and shall immediately segregate them in a manner that will prevent further Disclosure or dissemination of their contents.  </w:t>
      </w:r>
    </w:p>
    <w:p w:rsidR="00000000" w:rsidDel="00000000" w:rsidP="00000000" w:rsidRDefault="00000000" w:rsidRPr="00000000" w14:paraId="0000005B">
      <w:pPr>
        <w:widowControl w:val="1"/>
        <w:spacing w:line="48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u w:val="single"/>
          <w:rtl w:val="0"/>
        </w:rPr>
        <w:t xml:space="preserve">Non-Parties</w:t>
      </w:r>
      <w:r w:rsidDel="00000000" w:rsidR="00000000" w:rsidRPr="00000000">
        <w:rPr>
          <w:rtl w:val="0"/>
        </w:rPr>
      </w:r>
    </w:p>
    <w:p w:rsidR="00000000" w:rsidDel="00000000" w:rsidP="00000000" w:rsidRDefault="00000000" w:rsidRPr="00000000" w14:paraId="0000005C">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18.   Any Materials that may be produced by a non-Party in discovery in this Action pursuant to subpoena or otherwise may be designated by such non-Party or any Party as “Confidential” under the terms of this Protective Order.  Any such designation by a non-Party shall have the same force and effect, and create the same duties and obligations, as if made by one of the undersigned Parties hereto. Any such designation shall also function as consent by such producing non-Party to the authority of the Court in the Action to resolve and conclusively determine any motion or other application made by any person or Party with respect to such designation, or any other matter otherwise arising under this Protective Order.</w:t>
      </w:r>
    </w:p>
    <w:p w:rsidR="00000000" w:rsidDel="00000000" w:rsidP="00000000" w:rsidRDefault="00000000" w:rsidRPr="00000000" w14:paraId="0000005D">
      <w:pPr>
        <w:widowControl w:val="1"/>
        <w:spacing w:line="48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5E">
      <w:pPr>
        <w:widowControl w:val="1"/>
        <w:spacing w:line="48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u w:val="single"/>
          <w:rtl w:val="0"/>
        </w:rPr>
        <w:t xml:space="preserve">Disposition</w:t>
      </w:r>
      <w:r w:rsidDel="00000000" w:rsidR="00000000" w:rsidRPr="00000000">
        <w:rPr>
          <w:rtl w:val="0"/>
        </w:rPr>
      </w:r>
    </w:p>
    <w:p w:rsidR="00000000" w:rsidDel="00000000" w:rsidP="00000000" w:rsidRDefault="00000000" w:rsidRPr="00000000" w14:paraId="0000005F">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19.  To the extent permitted by law, the Court shall retain jurisdiction to enforce, modify, or reconsider this Protective Order, even after the Action is terminated. </w:t>
      </w:r>
    </w:p>
    <w:p w:rsidR="00000000" w:rsidDel="00000000" w:rsidP="00000000" w:rsidRDefault="00000000" w:rsidRPr="00000000" w14:paraId="00000060">
      <w:pPr>
        <w:widowControl w:val="1"/>
        <w:spacing w:line="48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u w:val="single"/>
          <w:rtl w:val="0"/>
        </w:rPr>
        <w:t xml:space="preserve">Miscellaneous Provisions</w:t>
      </w:r>
      <w:r w:rsidDel="00000000" w:rsidR="00000000" w:rsidRPr="00000000">
        <w:rPr>
          <w:rtl w:val="0"/>
        </w:rPr>
      </w:r>
    </w:p>
    <w:p w:rsidR="00000000" w:rsidDel="00000000" w:rsidP="00000000" w:rsidRDefault="00000000" w:rsidRPr="00000000" w14:paraId="00000061">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20.  Any Party (or other person subject to the terms of this Protective Order) may ask the Court, after appropriate notice to the other Parties to the Proceeding, to modify or grant relief from any provision of this Protective Order.</w:t>
      </w:r>
    </w:p>
    <w:p w:rsidR="00000000" w:rsidDel="00000000" w:rsidP="00000000" w:rsidRDefault="00000000" w:rsidRPr="00000000" w14:paraId="00000062">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21.  Entering into, agreeing to, and/or complying with the terms of this Protective Order shall not prejudice in any way the right of any Party (or any other person subject to the terms of this Protective Order): (i) to seek a determination by the Court of whether any particular Confidential Materials should be subject to protection under the terms of this Protective Order; or (ii) to seek relief from the Court on appropriate notice to all other Parties to the Proceeding from any provision(s) of this Protective Order, either generally or as to any particular Materials.</w:t>
      </w:r>
    </w:p>
    <w:p w:rsidR="00000000" w:rsidDel="00000000" w:rsidP="00000000" w:rsidRDefault="00000000" w:rsidRPr="00000000" w14:paraId="00000063">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22.  Nothing in this Protective Order shall affect the admissibility into evidence of Confidential Materials, or abridge the rights of any person to seek judicial review or to pursue other appropriate judicial action with respect to any ruling made by this Court concerning the issue of the status of any Confidential Materials. </w:t>
      </w:r>
    </w:p>
    <w:p w:rsidR="00000000" w:rsidDel="00000000" w:rsidP="00000000" w:rsidRDefault="00000000" w:rsidRPr="00000000" w14:paraId="00000064">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23.  Any entity or individual later joined to the Action as a Party who has not executed this Protective Order as of the time it is presented to the Court for signature may thereafter agree to be bound by this Protective Order by its counsel’s signing and dating a copy thereof and filing the same with the Court, and serving copies of such signed and dated Protective Order upon the other Parties.</w:t>
      </w:r>
    </w:p>
    <w:p w:rsidR="00000000" w:rsidDel="00000000" w:rsidP="00000000" w:rsidRDefault="00000000" w:rsidRPr="00000000" w14:paraId="00000065">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24.  The parties agree that prior to issuing third-party subpoenas for the records of the following: Plaintiff, current employees of Defendant, or any witnesses identified by Plaintiff or Defendant, parties shall confer in good faith to attempt to obtain the records sought without issuing subpoenas to non-party entities or individuals.  If the Parties are unable to reach an agreement, they will refer this dispute, pursuant to this protective order, to the Court for resolution.  Only if the Court orders a party to produce documents it is unable to obtain within a reasonable time frame, and that are necessary to the prosecution or defense of the action, then a third-party subpoena may be issued to obtain responsive documents.  Such third-party subpoena will be provided to the non-requesting party prior to being served on the third-party.  All such documents may be designated as confidential by request of the parties. In the process of obtaining third-party records, the parties and their counsel shall not engage in any contact greater than necessary to obtain the documents. </w:t>
      </w:r>
    </w:p>
    <w:p w:rsidR="00000000" w:rsidDel="00000000" w:rsidP="00000000" w:rsidRDefault="00000000" w:rsidRPr="00000000" w14:paraId="00000066">
      <w:pPr>
        <w:widowControl w:val="1"/>
        <w:spacing w:line="48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25.</w:t>
        <w:tab/>
        <w:t xml:space="preserve">Any disputes about applicability of Confidentiality shall be determined under Missouri law.  The Court recognizes that “</w:t>
      </w:r>
      <w:r w:rsidDel="00000000" w:rsidR="00000000" w:rsidRPr="00000000">
        <w:rPr>
          <w:rFonts w:ascii="Century Schoolbook" w:cs="Century Schoolbook" w:eastAsia="Century Schoolbook" w:hAnsi="Century Schoolbook"/>
          <w:sz w:val="26"/>
          <w:szCs w:val="26"/>
          <w:highlight w:val="white"/>
          <w:rtl w:val="0"/>
        </w:rPr>
        <w:t xml:space="preserve">while there may be justification for sealing part or all of a file, to do so a court must identify specific and tangible threats to important values in order to override the importance of the public right of access.”  </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b w:val="1"/>
          <w:bCs w:val="1"/>
          <w:i w:val="1"/>
          <w:iCs w:val="1"/>
          <w:sz w:val="26"/>
          <w:szCs w:val="26"/>
          <w:rtl w:val="0"/>
        </w:rPr>
        <w:t xml:space="preserve">Brewer v. Cosgrove</w:t>
      </w:r>
      <w:r w:rsidDel="00000000" w:rsidR="00000000" w:rsidRPr="00000000">
        <w:rPr>
          <w:rFonts w:ascii="Century Schoolbook" w:cs="Century Schoolbook" w:eastAsia="Century Schoolbook" w:hAnsi="Century Schoolbook"/>
          <w:sz w:val="26"/>
          <w:szCs w:val="26"/>
          <w:rtl w:val="0"/>
        </w:rPr>
        <w:t xml:space="preserve">, 498 S.W.3d 837, 842 (Mo. App. E.D. 2016). Further, “</w:t>
      </w:r>
      <w:r w:rsidDel="00000000" w:rsidR="00000000" w:rsidRPr="00000000">
        <w:rPr>
          <w:rFonts w:ascii="Century Schoolbook" w:cs="Century Schoolbook" w:eastAsia="Century Schoolbook" w:hAnsi="Century Schoolbook"/>
          <w:sz w:val="26"/>
          <w:szCs w:val="26"/>
          <w:highlight w:val="white"/>
          <w:rtl w:val="0"/>
        </w:rPr>
        <w:t xml:space="preserve">case records are presumptively open to public inspection and copying absent a compelling justification for their closure. It is up to the objecting party to plead and prove convincing reasons to rebut the </w:t>
      </w:r>
      <w:r w:rsidDel="00000000" w:rsidR="00000000" w:rsidRPr="00000000">
        <w:rPr>
          <w:rFonts w:ascii="Century Schoolbook" w:cs="Century Schoolbook" w:eastAsia="Century Schoolbook" w:hAnsi="Century Schoolbook"/>
          <w:b w:val="1"/>
          <w:bCs w:val="1"/>
          <w:sz w:val="26"/>
          <w:szCs w:val="26"/>
          <w:highlight w:val="white"/>
          <w:rtl w:val="0"/>
        </w:rPr>
        <w:t xml:space="preserve">presumption of openness</w:t>
      </w:r>
      <w:r w:rsidDel="00000000" w:rsidR="00000000" w:rsidRPr="00000000">
        <w:rPr>
          <w:rFonts w:ascii="Century Schoolbook" w:cs="Century Schoolbook" w:eastAsia="Century Schoolbook" w:hAnsi="Century Schoolbook"/>
          <w:sz w:val="26"/>
          <w:szCs w:val="26"/>
          <w:highlight w:val="white"/>
          <w:rtl w:val="0"/>
        </w:rPr>
        <w:t xml:space="preserve">.”</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b w:val="1"/>
          <w:bCs w:val="1"/>
          <w:i w:val="1"/>
          <w:iCs w:val="1"/>
          <w:sz w:val="26"/>
          <w:szCs w:val="26"/>
          <w:rtl w:val="0"/>
        </w:rPr>
        <w:t xml:space="preserve">Transit Cas. Co. ex rel. Pulitzer Publ'g Co. v. Transit Cas. Co. ex rel. Intervening Emps</w:t>
      </w:r>
      <w:r w:rsidDel="00000000" w:rsidR="00000000" w:rsidRPr="00000000">
        <w:rPr>
          <w:rFonts w:ascii="Century Schoolbook" w:cs="Century Schoolbook" w:eastAsia="Century Schoolbook" w:hAnsi="Century Schoolbook"/>
          <w:b w:val="1"/>
          <w:bCs w:val="1"/>
          <w:sz w:val="26"/>
          <w:szCs w:val="26"/>
          <w:rtl w:val="0"/>
        </w:rPr>
        <w:t xml:space="preserve">.</w:t>
      </w:r>
      <w:r w:rsidDel="00000000" w:rsidR="00000000" w:rsidRPr="00000000">
        <w:rPr>
          <w:rFonts w:ascii="Century Schoolbook" w:cs="Century Schoolbook" w:eastAsia="Century Schoolbook" w:hAnsi="Century Schoolbook"/>
          <w:sz w:val="26"/>
          <w:szCs w:val="26"/>
          <w:rtl w:val="0"/>
        </w:rPr>
        <w:t xml:space="preserve">, 43 S.W.3d 293, 303–04 (Mo. banc 2001), </w:t>
      </w:r>
      <w:r w:rsidDel="00000000" w:rsidR="00000000" w:rsidRPr="00000000">
        <w:rPr>
          <w:rFonts w:ascii="Century Schoolbook" w:cs="Century Schoolbook" w:eastAsia="Century Schoolbook" w:hAnsi="Century Schoolbook"/>
          <w:i w:val="1"/>
          <w:iCs w:val="1"/>
          <w:sz w:val="26"/>
          <w:szCs w:val="26"/>
          <w:rtl w:val="0"/>
        </w:rPr>
        <w:t xml:space="preserve">as modified</w:t>
      </w:r>
      <w:r w:rsidDel="00000000" w:rsidR="00000000" w:rsidRPr="00000000">
        <w:rPr>
          <w:rFonts w:ascii="Century Schoolbook" w:cs="Century Schoolbook" w:eastAsia="Century Schoolbook" w:hAnsi="Century Schoolbook"/>
          <w:sz w:val="26"/>
          <w:szCs w:val="26"/>
          <w:rtl w:val="0"/>
        </w:rPr>
        <w:t xml:space="preserve"> (Apr. 24, 2001) (emphasis added).</w:t>
      </w:r>
    </w:p>
    <w:p w:rsidR="00000000" w:rsidDel="00000000" w:rsidP="00000000" w:rsidRDefault="00000000" w:rsidRPr="00000000" w14:paraId="00000067">
      <w:pPr>
        <w:widowControl w:val="1"/>
        <w:shd w:fill="ffffff" w:val="clear"/>
        <w:rPr>
          <w:color w:val="000000"/>
          <w:sz w:val="26"/>
          <w:szCs w:val="26"/>
        </w:rPr>
      </w:pPr>
      <w:r w:rsidDel="00000000" w:rsidR="00000000" w:rsidRPr="00000000">
        <w:rPr>
          <w:rtl w:val="0"/>
        </w:rPr>
      </w:r>
    </w:p>
    <w:p w:rsidR="00000000" w:rsidDel="00000000" w:rsidP="00000000" w:rsidRDefault="00000000" w:rsidRPr="00000000" w14:paraId="00000068">
      <w:pPr>
        <w:widowControl w:val="1"/>
        <w:ind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IT IS SO ORDERED.</w:t>
      </w:r>
    </w:p>
    <w:p w:rsidR="00000000" w:rsidDel="00000000" w:rsidP="00000000" w:rsidRDefault="00000000" w:rsidRPr="00000000" w14:paraId="00000069">
      <w:pPr>
        <w:widowControl w:val="1"/>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6A">
      <w:pPr>
        <w:widowControl w:val="1"/>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6B">
      <w:pPr>
        <w:widowControl w:val="1"/>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6C">
      <w:pPr>
        <w:widowControl w:val="1"/>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Dated:</w:t>
      </w:r>
    </w:p>
    <w:p w:rsidR="00000000" w:rsidDel="00000000" w:rsidP="00000000" w:rsidRDefault="00000000" w:rsidRPr="00000000" w14:paraId="0000006D">
      <w:pPr>
        <w:widowControl w:val="1"/>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6E">
      <w:pPr>
        <w:widowControl w:val="1"/>
        <w:tabs>
          <w:tab w:val="right" w:leader="none" w:pos="9270"/>
        </w:tabs>
        <w:spacing w:line="276" w:lineRule="auto"/>
        <w:ind w:left="504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_________________________________</w:t>
      </w:r>
    </w:p>
    <w:p w:rsidR="00000000" w:rsidDel="00000000" w:rsidP="00000000" w:rsidRDefault="00000000" w:rsidRPr="00000000" w14:paraId="0000006F">
      <w:pPr>
        <w:widowControl w:val="1"/>
        <w:tabs>
          <w:tab w:val="right" w:leader="none" w:pos="9270"/>
        </w:tabs>
        <w:ind w:left="5040" w:firstLine="0"/>
        <w:jc w:val="both"/>
        <w:rPr>
          <w:highlight w:val="yellow"/>
        </w:rPr>
      </w:pPr>
      <w:r w:rsidDel="00000000" w:rsidR="00000000" w:rsidRPr="00000000">
        <w:rPr>
          <w:rFonts w:ascii="Century Schoolbook" w:cs="Century Schoolbook" w:eastAsia="Century Schoolbook" w:hAnsi="Century Schoolbook"/>
          <w:sz w:val="26"/>
          <w:szCs w:val="26"/>
          <w:rtl w:val="0"/>
        </w:rPr>
        <w:t xml:space="preserve">HON. ADAM CAINE</w:t>
      </w:r>
      <w:r w:rsidDel="00000000" w:rsidR="00000000" w:rsidRPr="00000000">
        <w:rPr>
          <w:rtl w:val="0"/>
        </w:rPr>
      </w:r>
    </w:p>
    <w:p w:rsidR="00000000" w:rsidDel="00000000" w:rsidP="00000000" w:rsidRDefault="00000000" w:rsidRPr="00000000" w14:paraId="00000070">
      <w:pPr>
        <w:widowControl w:val="1"/>
        <w:tabs>
          <w:tab w:val="right" w:leader="none" w:pos="9270"/>
        </w:tabs>
        <w:jc w:val="both"/>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entury Schoolbook" w:cs="Century Schoolbook" w:eastAsia="Century Schoolbook" w:hAnsi="Century Schoolbook"/>
        <w:i w:val="0"/>
        <w:iCs w:val="0"/>
        <w:smallCaps w:val="0"/>
        <w:strike w:val="0"/>
        <w:color w:val="000000"/>
        <w:sz w:val="26"/>
        <w:szCs w:val="26"/>
        <w:u w:val="none"/>
        <w:shd w:fill="auto" w:val="clear"/>
        <w:vertAlign w:val="baseline"/>
      </w:rPr>
    </w:pPr>
    <w:r w:rsidDel="00000000" w:rsidR="00000000" w:rsidRPr="00000000">
      <w:rPr>
        <w:rFonts w:ascii="Century Schoolbook" w:cs="Century Schoolbook" w:eastAsia="Century Schoolbook" w:hAnsi="Century Schoolbook"/>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otnoteReference">
    <w:name w:val="footnote reference"/>
    <w:uiPriority w:val="99"/>
  </w:style>
  <w:style w:type="character" w:styleId="Hyperlink">
    <w:name w:val="Hyperlink"/>
    <w:basedOn w:val="DefaultParagraphFont"/>
    <w:uiPriority w:val="99"/>
    <w:unhideWhenUsed w:val="1"/>
    <w:rsid w:val="00EC4ECA"/>
    <w:rPr>
      <w:color w:val="0000ff" w:themeColor="hyperlink"/>
      <w:u w:val="single"/>
    </w:rPr>
  </w:style>
  <w:style w:type="paragraph" w:styleId="Header">
    <w:name w:val="header"/>
    <w:basedOn w:val="Normal"/>
    <w:link w:val="HeaderChar"/>
    <w:uiPriority w:val="99"/>
    <w:unhideWhenUsed w:val="1"/>
    <w:rsid w:val="005F5330"/>
    <w:pPr>
      <w:tabs>
        <w:tab w:val="center" w:pos="4680"/>
        <w:tab w:val="right" w:pos="9360"/>
      </w:tabs>
    </w:pPr>
  </w:style>
  <w:style w:type="character" w:styleId="HeaderChar" w:customStyle="1">
    <w:name w:val="Header Char"/>
    <w:basedOn w:val="DefaultParagraphFont"/>
    <w:link w:val="Header"/>
    <w:uiPriority w:val="99"/>
    <w:rsid w:val="005F5330"/>
    <w:rPr>
      <w:rFonts w:ascii="Times New Roman" w:cs="Times New Roman" w:hAnsi="Times New Roman"/>
      <w:sz w:val="24"/>
      <w:szCs w:val="24"/>
    </w:rPr>
  </w:style>
  <w:style w:type="paragraph" w:styleId="Footer">
    <w:name w:val="footer"/>
    <w:basedOn w:val="Normal"/>
    <w:link w:val="FooterChar"/>
    <w:uiPriority w:val="99"/>
    <w:unhideWhenUsed w:val="1"/>
    <w:rsid w:val="005F5330"/>
    <w:pPr>
      <w:tabs>
        <w:tab w:val="center" w:pos="4680"/>
        <w:tab w:val="right" w:pos="9360"/>
      </w:tabs>
    </w:pPr>
  </w:style>
  <w:style w:type="character" w:styleId="FooterChar" w:customStyle="1">
    <w:name w:val="Footer Char"/>
    <w:basedOn w:val="DefaultParagraphFont"/>
    <w:link w:val="Footer"/>
    <w:uiPriority w:val="99"/>
    <w:rsid w:val="005F5330"/>
    <w:rPr>
      <w:rFonts w:ascii="Times New Roman" w:cs="Times New Roman" w:hAnsi="Times New Roman"/>
      <w:sz w:val="24"/>
      <w:szCs w:val="24"/>
    </w:rPr>
  </w:style>
  <w:style w:type="paragraph" w:styleId="BalloonText">
    <w:name w:val="Balloon Text"/>
    <w:basedOn w:val="Normal"/>
    <w:link w:val="BalloonTextChar"/>
    <w:uiPriority w:val="99"/>
    <w:semiHidden w:val="1"/>
    <w:unhideWhenUsed w:val="1"/>
    <w:rsid w:val="0099790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97905"/>
    <w:rPr>
      <w:rFonts w:ascii="Segoe UI" w:cs="Segoe UI" w:hAnsi="Segoe UI"/>
      <w:sz w:val="18"/>
      <w:szCs w:val="18"/>
    </w:rPr>
  </w:style>
  <w:style w:type="character" w:styleId="FollowedHyperlink">
    <w:name w:val="FollowedHyperlink"/>
    <w:basedOn w:val="DefaultParagraphFont"/>
    <w:uiPriority w:val="99"/>
    <w:semiHidden w:val="1"/>
    <w:unhideWhenUsed w:val="1"/>
    <w:rsid w:val="00DE54E1"/>
    <w:rPr>
      <w:color w:val="800080" w:themeColor="followedHyperlink"/>
      <w:u w:val="single"/>
    </w:rPr>
  </w:style>
  <w:style w:type="table" w:styleId="TableGrid">
    <w:name w:val="Table Grid"/>
    <w:basedOn w:val="TableNormal"/>
    <w:uiPriority w:val="59"/>
    <w:rsid w:val="00B037D5"/>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leadingSignature" w:customStyle="1">
    <w:name w:val="Pleading Signature"/>
    <w:basedOn w:val="Normal"/>
    <w:rsid w:val="004F6477"/>
    <w:pPr>
      <w:keepNext w:val="1"/>
      <w:keepLines w:val="1"/>
      <w:autoSpaceDE w:val="1"/>
      <w:autoSpaceDN w:val="1"/>
      <w:adjustRightInd w:val="1"/>
      <w:ind w:left="108" w:right="108"/>
    </w:pPr>
    <w:rPr>
      <w:rFonts w:eastAsia="Times New Roman"/>
      <w:szCs w:val="20"/>
    </w:rPr>
  </w:style>
  <w:style w:type="character" w:styleId="zzmpTrailerItem" w:customStyle="1">
    <w:name w:val="zzmpTrailerItem"/>
    <w:basedOn w:val="DefaultParagraphFont"/>
    <w:rsid w:val="00A326CD"/>
    <w:rPr>
      <w:rFonts w:ascii="Times New Roman" w:cs="Times New Roman" w:hAnsi="Times New Roman"/>
      <w:dstrike w:val="0"/>
      <w:noProof w:val="1"/>
      <w:color w:val="auto"/>
      <w:spacing w:val="0"/>
      <w:position w:val="0"/>
      <w:sz w:val="16"/>
      <w:szCs w:val="16"/>
      <w:u w:val="none"/>
      <w:effect w:val="none"/>
      <w:vertAlign w:val="baseline"/>
    </w:rPr>
  </w:style>
  <w:style w:type="paragraph" w:styleId="ListParagraph">
    <w:name w:val="List Paragraph"/>
    <w:basedOn w:val="Normal"/>
    <w:uiPriority w:val="34"/>
    <w:qFormat w:val="1"/>
    <w:rsid w:val="005B240D"/>
    <w:pPr>
      <w:ind w:left="720"/>
      <w:contextualSpacing w:val="1"/>
    </w:pPr>
  </w:style>
  <w:style w:type="paragraph" w:styleId="Technical2" w:customStyle="1">
    <w:name w:val="Technical[2]"/>
    <w:uiPriority w:val="99"/>
    <w:rsid w:val="00ED157F"/>
    <w:pPr>
      <w:widowControl w:val="0"/>
      <w:autoSpaceDE w:val="0"/>
      <w:autoSpaceDN w:val="0"/>
      <w:adjustRightInd w:val="0"/>
      <w:spacing w:after="0" w:line="240" w:lineRule="auto"/>
      <w:jc w:val="both"/>
    </w:pPr>
    <w:rPr>
      <w:rFonts w:ascii="Courier 10cpi" w:hAnsi="Courier 10cpi"/>
      <w:b w:val="1"/>
      <w:bCs w:val="1"/>
      <w:sz w:val="24"/>
      <w:szCs w:val="24"/>
      <w:u w:val="single"/>
    </w:rPr>
  </w:style>
  <w:style w:type="paragraph" w:styleId="FootnoteText">
    <w:name w:val="footnote text"/>
    <w:basedOn w:val="Normal"/>
    <w:link w:val="FootnoteTextChar"/>
    <w:uiPriority w:val="99"/>
    <w:semiHidden w:val="1"/>
    <w:unhideWhenUsed w:val="1"/>
    <w:rsid w:val="0046514E"/>
    <w:rPr>
      <w:sz w:val="20"/>
      <w:szCs w:val="20"/>
    </w:rPr>
  </w:style>
  <w:style w:type="character" w:styleId="FootnoteTextChar" w:customStyle="1">
    <w:name w:val="Footnote Text Char"/>
    <w:basedOn w:val="DefaultParagraphFont"/>
    <w:link w:val="FootnoteText"/>
    <w:uiPriority w:val="99"/>
    <w:semiHidden w:val="1"/>
    <w:rsid w:val="0046514E"/>
    <w:rPr>
      <w:rFonts w:ascii="Times New Roman" w:cs="Times New Roman" w:hAnsi="Times New Roman"/>
      <w:sz w:val="20"/>
      <w:szCs w:val="20"/>
    </w:rPr>
  </w:style>
  <w:style w:type="paragraph" w:styleId="NormalWeb">
    <w:name w:val="Normal (Web)"/>
    <w:basedOn w:val="Normal"/>
    <w:uiPriority w:val="99"/>
    <w:semiHidden w:val="1"/>
    <w:unhideWhenUsed w:val="1"/>
    <w:rsid w:val="00ED1E56"/>
    <w:pPr>
      <w:widowControl w:val="1"/>
      <w:autoSpaceDE w:val="1"/>
      <w:autoSpaceDN w:val="1"/>
      <w:adjustRightInd w:val="1"/>
      <w:spacing w:after="100" w:afterAutospacing="1" w:before="100" w:beforeAutospacing="1"/>
    </w:pPr>
    <w:rPr>
      <w:rFonts w:eastAsia="Times New Roman"/>
    </w:rPr>
  </w:style>
  <w:style w:type="character" w:styleId="apple-tab-span" w:customStyle="1">
    <w:name w:val="apple-tab-span"/>
    <w:basedOn w:val="DefaultParagraphFont"/>
    <w:rsid w:val="00ED1E56"/>
  </w:style>
  <w:style w:type="character" w:styleId="Emphasis">
    <w:name w:val="Emphasis"/>
    <w:basedOn w:val="DefaultParagraphFont"/>
    <w:uiPriority w:val="20"/>
    <w:qFormat w:val="1"/>
    <w:rsid w:val="00372598"/>
    <w:rPr>
      <w:i w:val="1"/>
      <w:iCs w:val="1"/>
    </w:rPr>
  </w:style>
  <w:style w:type="character" w:styleId="costarpage" w:customStyle="1">
    <w:name w:val="co_starpage"/>
    <w:basedOn w:val="DefaultParagraphFont"/>
    <w:rsid w:val="00372598"/>
  </w:style>
  <w:style w:type="character" w:styleId="copinpointicon" w:customStyle="1">
    <w:name w:val="co_pinpointicon"/>
    <w:basedOn w:val="DefaultParagraphFont"/>
    <w:rsid w:val="00372598"/>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0aL840ugv4Vmh2oNd4dTIYX5pw==">CgMxLjA4AHIhMVF1b0xpOEp4U3ZpanYwR045dVVPOUtvLW9meHpiTlFj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2022-06-24T01:30:00Z</dcterms:created>
  <dc:creator>Stephanie Lake</dc:creator>
</cp:coreProperties>
</file>