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Schoolbook-bold.ttf" ContentType="application/x-font-ttf"/>
  <Override PartName="/word/fonts/CenturySchoolbook-boldItalic.ttf" ContentType="application/x-font-ttf"/>
  <Override PartName="/word/fonts/CenturySchoolbook-italic.ttf" ContentType="application/x-font-ttf"/>
  <Override PartName="/word/fonts/CenturySchoolbook-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jc w:val="center"/>
        <w:rPr>
          <w:rFonts w:ascii="Century Schoolbook" w:cs="Century Schoolbook" w:eastAsia="Century Schoolbook" w:hAnsi="Century Schoolbook"/>
          <w:b w:val="1"/>
          <w:bCs w:val="1"/>
          <w:sz w:val="26"/>
          <w:szCs w:val="26"/>
        </w:rPr>
      </w:pPr>
      <w:r>
        <w:t>{{courtName}}</w:t>
      </w:r>
    </w:p>
    <w:p w:rsidR="00000000" w:rsidDel="00000000" w:rsidP="00000000" w:rsidRDefault="00000000" w:rsidRPr="00000000" w14:paraId="00000002">
      <w:pPr>
        <w:widowControl w:val="1"/>
        <w:jc w:val="center"/>
        <w:rPr>
          <w:rFonts w:ascii="Century Schoolbook" w:cs="Century Schoolbook" w:eastAsia="Century Schoolbook" w:hAnsi="Century Schoolbook"/>
          <w:b w:val="1"/>
          <w:bCs w:val="1"/>
          <w:sz w:val="26"/>
          <w:szCs w:val="26"/>
        </w:rPr>
      </w:pPr>
      <w:r>
        <w:t>{{courtDivision}}</w:t>
      </w:r>
    </w:p>
    <w:tbl>
      <w:tblPr>
        <w:tblStyle w:val="Table1"/>
        <w:tblW w:w="9360.0" w:type="dxa"/>
        <w:jc w:val="center"/>
        <w:tblLayout w:type="fixed"/>
        <w:tblLook w:val="0600"/>
      </w:tblPr>
      <w:tblGrid>
        <w:gridCol w:w="4536"/>
        <w:gridCol w:w="288"/>
        <w:gridCol w:w="4536"/>
        <w:tblGridChange w:id="0">
          <w:tblGrid>
            <w:gridCol w:w="4536"/>
            <w:gridCol w:w="288"/>
            <w:gridCol w:w="4536"/>
          </w:tblGrid>
        </w:tblGridChange>
      </w:tblGrid>
      <w:tr>
        <w:trPr>
          <w:cantSplit w:val="0"/>
          <w:trHeight w:val="3660.703125" w:hRule="atLeast"/>
          <w:tblHeader w:val="0"/>
        </w:trPr>
        <w:tc>
          <w:tcPr>
            <w:shd w:fill="auto" w:val="clear"/>
            <w:tcMar>
              <w:top w:w="100.0" w:type="dxa"/>
              <w:left w:w="100.0" w:type="dxa"/>
              <w:bottom w:w="100.0" w:type="dxa"/>
              <w:right w:w="100.0" w:type="dxa"/>
            </w:tcMar>
            <w:vAlign w:val="top"/>
          </w:tcPr>
          <w:p>
            <w:r>
              <w:br/>
              <w:br/>
              <w:t>{{plaintiffName}},</w:t>
              <w:br/>
              <w:br/>
              <w:t>Plaintiff,</w:t>
              <w:br/>
              <w:br/>
              <w:t xml:space="preserve">v. </w:t>
              <w:br/>
              <w:br/>
              <w:t>{{defendantName}}</w:t>
              <w:br/>
              <w:tab/>
              <w:tab/>
              <w:tab/>
              <w:br/>
              <w:t>Defendants.</w:t>
              <w:tab/>
              <w:tab/>
              <w:tab/>
              <w:br/>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rFonts w:ascii="Century Schoolbook" w:cs="Century Schoolbook" w:eastAsia="Century Schoolbook" w:hAnsi="Century Schoolbook"/>
                <w:sz w:val="26"/>
                <w:szCs w:val="26"/>
              </w:rPr>
            </w:pPr>
            <w:r/>
          </w:p>
          <w:p w:rsidR="00000000" w:rsidDel="00000000" w:rsidP="00000000" w:rsidRDefault="00000000" w:rsidRPr="00000000" w14:paraId="00000012">
            <w:pPr>
              <w:rPr>
                <w:rFonts w:ascii="Century Schoolbook" w:cs="Century Schoolbook" w:eastAsia="Century Schoolbook" w:hAnsi="Century Schoolbook"/>
                <w:sz w:val="26"/>
                <w:szCs w:val="26"/>
              </w:rPr>
            </w:pPr>
            <w:r>
              <w:t>)</w:t>
            </w:r>
          </w:p>
          <w:p w:rsidR="00000000" w:rsidDel="00000000" w:rsidP="00000000" w:rsidRDefault="00000000" w:rsidRPr="00000000" w14:paraId="00000013">
            <w:pPr>
              <w:rPr>
                <w:rFonts w:ascii="Century Schoolbook" w:cs="Century Schoolbook" w:eastAsia="Century Schoolbook" w:hAnsi="Century Schoolbook"/>
                <w:sz w:val="26"/>
                <w:szCs w:val="26"/>
              </w:rPr>
            </w:pPr>
            <w:r>
              <w:t>)</w:t>
            </w:r>
          </w:p>
          <w:p w:rsidR="00000000" w:rsidDel="00000000" w:rsidP="00000000" w:rsidRDefault="00000000" w:rsidRPr="00000000" w14:paraId="00000014">
            <w:pPr>
              <w:rPr>
                <w:rFonts w:ascii="Century Schoolbook" w:cs="Century Schoolbook" w:eastAsia="Century Schoolbook" w:hAnsi="Century Schoolbook"/>
                <w:sz w:val="26"/>
                <w:szCs w:val="26"/>
              </w:rPr>
            </w:pPr>
            <w:r>
              <w:t>)</w:t>
            </w:r>
          </w:p>
          <w:p w:rsidR="00000000" w:rsidDel="00000000" w:rsidP="00000000" w:rsidRDefault="00000000" w:rsidRPr="00000000" w14:paraId="00000015">
            <w:pPr>
              <w:rPr>
                <w:rFonts w:ascii="Century Schoolbook" w:cs="Century Schoolbook" w:eastAsia="Century Schoolbook" w:hAnsi="Century Schoolbook"/>
                <w:sz w:val="26"/>
                <w:szCs w:val="26"/>
              </w:rPr>
            </w:pPr>
            <w:r>
              <w:t>)</w:t>
            </w:r>
          </w:p>
          <w:p w:rsidR="00000000" w:rsidDel="00000000" w:rsidP="00000000" w:rsidRDefault="00000000" w:rsidRPr="00000000" w14:paraId="00000016">
            <w:pPr>
              <w:rPr>
                <w:rFonts w:ascii="Century Schoolbook" w:cs="Century Schoolbook" w:eastAsia="Century Schoolbook" w:hAnsi="Century Schoolbook"/>
                <w:sz w:val="26"/>
                <w:szCs w:val="26"/>
              </w:rPr>
            </w:pPr>
            <w:r>
              <w:t>)</w:t>
            </w:r>
          </w:p>
          <w:p w:rsidR="00000000" w:rsidDel="00000000" w:rsidP="00000000" w:rsidRDefault="00000000" w:rsidRPr="00000000" w14:paraId="00000017">
            <w:pPr>
              <w:rPr>
                <w:rFonts w:ascii="Century Schoolbook" w:cs="Century Schoolbook" w:eastAsia="Century Schoolbook" w:hAnsi="Century Schoolbook"/>
                <w:sz w:val="26"/>
                <w:szCs w:val="26"/>
              </w:rPr>
            </w:pPr>
            <w:r>
              <w:t>)</w:t>
            </w:r>
          </w:p>
          <w:p w:rsidR="00000000" w:rsidDel="00000000" w:rsidP="00000000" w:rsidRDefault="00000000" w:rsidRPr="00000000" w14:paraId="00000018">
            <w:pPr>
              <w:rPr>
                <w:rFonts w:ascii="Century Schoolbook" w:cs="Century Schoolbook" w:eastAsia="Century Schoolbook" w:hAnsi="Century Schoolbook"/>
                <w:sz w:val="26"/>
                <w:szCs w:val="26"/>
              </w:rPr>
            </w:pPr>
            <w:r>
              <w:t>))</w:t>
            </w:r>
          </w:p>
          <w:p w:rsidR="00000000" w:rsidDel="00000000" w:rsidP="00000000" w:rsidRDefault="00000000" w:rsidRPr="00000000" w14:paraId="00000019">
            <w:pPr>
              <w:rPr>
                <w:rFonts w:ascii="Century Schoolbook" w:cs="Century Schoolbook" w:eastAsia="Century Schoolbook" w:hAnsi="Century Schoolbook"/>
                <w:sz w:val="26"/>
                <w:szCs w:val="26"/>
              </w:rPr>
            </w:pPr>
            <w:r>
              <w:t>)</w:t>
            </w:r>
          </w:p>
          <w:p w:rsidR="00000000" w:rsidDel="00000000" w:rsidP="00000000" w:rsidRDefault="00000000" w:rsidRPr="00000000" w14:paraId="0000001A">
            <w:pPr>
              <w:rPr>
                <w:rFonts w:ascii="Century Schoolbook" w:cs="Century Schoolbook" w:eastAsia="Century Schoolbook" w:hAnsi="Century Schoolbook"/>
                <w:sz w:val="26"/>
                <w:szCs w:val="26"/>
              </w:rPr>
            </w:pPr>
            <w:r>
              <w:t>)</w:t>
            </w:r>
          </w:p>
          <w:p w:rsidR="00000000" w:rsidDel="00000000" w:rsidP="00000000" w:rsidRDefault="00000000" w:rsidRPr="00000000" w14:paraId="0000001B">
            <w:pPr>
              <w:rPr>
                <w:rFonts w:ascii="Century Schoolbook" w:cs="Century Schoolbook" w:eastAsia="Century Schoolbook" w:hAnsi="Century Schoolbook"/>
                <w:sz w:val="26"/>
                <w:szCs w:val="26"/>
              </w:rPr>
            </w:pPr>
            <w:r>
              <w:t>)</w:t>
            </w:r>
          </w:p>
          <w:p w:rsidR="00000000" w:rsidDel="00000000" w:rsidP="00000000" w:rsidRDefault="00000000" w:rsidRPr="00000000" w14:paraId="0000001C">
            <w:pPr>
              <w:rPr>
                <w:rFonts w:ascii="Century Schoolbook" w:cs="Century Schoolbook" w:eastAsia="Century Schoolbook" w:hAnsi="Century Schoolbook"/>
                <w:sz w:val="26"/>
                <w:szCs w:val="26"/>
              </w:rPr>
            </w:pPr>
            <w:r>
              <w:t>)</w:t>
            </w:r>
          </w:p>
          <w:p w:rsidR="00000000" w:rsidDel="00000000" w:rsidP="00000000" w:rsidRDefault="00000000" w:rsidRPr="00000000" w14:paraId="0000001D">
            <w:pPr>
              <w:rPr>
                <w:rFonts w:ascii="Century Schoolbook" w:cs="Century Schoolbook" w:eastAsia="Century Schoolbook" w:hAnsi="Century Schoolbook"/>
                <w:sz w:val="26"/>
                <w:szCs w:val="26"/>
              </w:rPr>
            </w:pPr>
            <w: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rFonts w:ascii="Century Schoolbook" w:cs="Century Schoolbook" w:eastAsia="Century Schoolbook" w:hAnsi="Century Schoolbook"/>
                <w:sz w:val="26"/>
                <w:szCs w:val="26"/>
              </w:rPr>
            </w:pPr>
            <w:r/>
          </w:p>
          <w:p w:rsidR="00000000" w:rsidDel="00000000" w:rsidP="00000000" w:rsidRDefault="00000000" w:rsidRPr="00000000" w14:paraId="0000001F">
            <w:pPr>
              <w:jc w:val="center"/>
              <w:rPr>
                <w:rFonts w:ascii="Century Schoolbook" w:cs="Century Schoolbook" w:eastAsia="Century Schoolbook" w:hAnsi="Century Schoolbook"/>
                <w:b w:val="1"/>
                <w:bCs w:val="1"/>
                <w:sz w:val="26"/>
                <w:szCs w:val="26"/>
              </w:rPr>
            </w:pPr>
            <w:r/>
          </w:p>
          <w:p w:rsidR="00000000" w:rsidDel="00000000" w:rsidP="00000000" w:rsidRDefault="00000000" w:rsidRPr="00000000" w14:paraId="00000020">
            <w:pPr>
              <w:jc w:val="center"/>
              <w:rPr>
                <w:rFonts w:ascii="Century Schoolbook" w:cs="Century Schoolbook" w:eastAsia="Century Schoolbook" w:hAnsi="Century Schoolbook"/>
                <w:b w:val="1"/>
                <w:bCs w:val="1"/>
                <w:sz w:val="26"/>
                <w:szCs w:val="26"/>
              </w:rPr>
            </w:pPr>
            <w:r/>
          </w:p>
          <w:p w:rsidR="00000000" w:rsidDel="00000000" w:rsidP="00000000" w:rsidRDefault="00000000" w:rsidRPr="00000000" w14:paraId="00000021">
            <w:pPr>
              <w:jc w:val="center"/>
              <w:rPr>
                <w:rFonts w:ascii="Century Schoolbook" w:cs="Century Schoolbook" w:eastAsia="Century Schoolbook" w:hAnsi="Century Schoolbook"/>
                <w:b w:val="1"/>
                <w:bCs w:val="1"/>
                <w:sz w:val="26"/>
                <w:szCs w:val="26"/>
              </w:rPr>
            </w:pPr>
            <w:r/>
          </w:p>
          <w:p w:rsidR="00000000" w:rsidDel="00000000" w:rsidP="00000000" w:rsidRDefault="00000000" w:rsidRPr="00000000" w14:paraId="00000022">
            <w:pPr>
              <w:rPr>
                <w:rFonts w:ascii="Century Schoolbook" w:cs="Century Schoolbook" w:eastAsia="Century Schoolbook" w:hAnsi="Century Schoolbook"/>
                <w:b w:val="1"/>
                <w:bCs w:val="1"/>
                <w:sz w:val="26"/>
                <w:szCs w:val="26"/>
              </w:rPr>
            </w:pPr>
            <w:r/>
          </w:p>
          <w:p w:rsidR="00000000" w:rsidDel="00000000" w:rsidP="00000000" w:rsidRDefault="00000000" w:rsidRPr="00000000" w14:paraId="00000023">
            <w:pPr>
              <w:jc w:val="center"/>
              <w:rPr>
                <w:rFonts w:ascii="Century Schoolbook" w:cs="Century Schoolbook" w:eastAsia="Century Schoolbook" w:hAnsi="Century Schoolbook"/>
                <w:sz w:val="26"/>
                <w:szCs w:val="26"/>
              </w:rPr>
            </w:pPr>
            <w:r>
              <w:t>Case No.: {{caseNumber}}</w:t>
            </w:r>
          </w:p>
          <w:p w:rsidR="00000000" w:rsidDel="00000000" w:rsidP="00000000" w:rsidRDefault="00000000" w:rsidRPr="00000000" w14:paraId="00000024">
            <w:pPr>
              <w:jc w:val="center"/>
              <w:rPr>
                <w:rFonts w:ascii="Century Schoolbook" w:cs="Century Schoolbook" w:eastAsia="Century Schoolbook" w:hAnsi="Century Schoolbook"/>
                <w:sz w:val="26"/>
                <w:szCs w:val="26"/>
              </w:rPr>
            </w:pPr>
            <w:r/>
          </w:p>
          <w:p w:rsidR="00000000" w:rsidDel="00000000" w:rsidP="00000000" w:rsidRDefault="00000000" w:rsidRPr="00000000" w14:paraId="00000025">
            <w:pPr>
              <w:jc w:val="center"/>
              <w:rPr>
                <w:rFonts w:ascii="Century Schoolbook" w:cs="Century Schoolbook" w:eastAsia="Century Schoolbook" w:hAnsi="Century Schoolbook"/>
                <w:sz w:val="26"/>
                <w:szCs w:val="26"/>
              </w:rPr>
            </w:pPr>
            <w:r/>
          </w:p>
          <w:p w:rsidR="00000000" w:rsidDel="00000000" w:rsidP="00000000" w:rsidRDefault="00000000" w:rsidRPr="00000000" w14:paraId="00000026">
            <w:pPr>
              <w:jc w:val="center"/>
              <w:rPr>
                <w:rFonts w:ascii="Century Schoolbook" w:cs="Century Schoolbook" w:eastAsia="Century Schoolbook" w:hAnsi="Century Schoolbook"/>
                <w:sz w:val="26"/>
                <w:szCs w:val="26"/>
              </w:rPr>
            </w:pPr>
            <w:r/>
          </w:p>
          <w:p w:rsidR="00000000" w:rsidDel="00000000" w:rsidP="00000000" w:rsidRDefault="00000000" w:rsidRPr="00000000" w14:paraId="00000027">
            <w:pPr>
              <w:jc w:val="center"/>
              <w:rPr>
                <w:rFonts w:ascii="Century Schoolbook" w:cs="Century Schoolbook" w:eastAsia="Century Schoolbook" w:hAnsi="Century Schoolbook"/>
                <w:b w:val="1"/>
                <w:bCs w:val="1"/>
                <w:sz w:val="26"/>
                <w:szCs w:val="26"/>
              </w:rPr>
            </w:pPr>
            <w:r/>
          </w:p>
        </w:tc>
      </w:tr>
    </w:tbl>
    <w:p w:rsidR="00000000" w:rsidDel="00000000" w:rsidP="00000000" w:rsidRDefault="00000000" w:rsidRPr="00000000" w14:paraId="00000028">
      <w:pPr>
        <w:widowControl w:val="1"/>
        <w:pBdr>
          <w:bottom w:color="000000" w:space="2" w:sz="8" w:val="single"/>
        </w:pBdr>
        <w:spacing w:before="200" w:lineRule="auto"/>
        <w:jc w:val="center"/>
        <w:rPr>
          <w:rFonts w:ascii="Century Schoolbook" w:cs="Century Schoolbook" w:eastAsia="Century Schoolbook" w:hAnsi="Century Schoolbook"/>
          <w:b w:val="1"/>
          <w:bCs w:val="1"/>
          <w:sz w:val="26"/>
          <w:szCs w:val="26"/>
        </w:rPr>
      </w:pPr>
      <w:r>
        <w:t>PLAINTIFF’S PROPOSED PROTECTIVE ORDER</w:t>
      </w:r>
    </w:p>
    <w:p w:rsidR="00000000" w:rsidDel="00000000" w:rsidP="00000000" w:rsidRDefault="00000000" w:rsidRPr="00000000" w14:paraId="00000029">
      <w:pPr>
        <w:widowControl w:val="1"/>
        <w:spacing w:after="0" w:before="240" w:line="480" w:lineRule="auto"/>
        <w:ind w:firstLine="720"/>
        <w:jc w:val="both"/>
        <w:rPr>
          <w:rFonts w:ascii="Century Schoolbook" w:cs="Century Schoolbook" w:eastAsia="Century Schoolbook" w:hAnsi="Century Schoolbook"/>
          <w:sz w:val="26"/>
          <w:szCs w:val="26"/>
        </w:rPr>
      </w:pPr>
      <w:r>
        <w:t xml:space="preserve">The allegations and defenses in this case may put at issue information, documents, or materials that may be confidential and, as such, subject to limitations on disclosure under federal law, state law, or the right to privacy of Plaintiff {{plaintiffName}} and {{targetDefendants}} (collectively “{{collectiveDefendantShortName}}” and / or “Defendants”). </w:t>
      </w:r>
    </w:p>
    <w:p w:rsidR="00000000" w:rsidDel="00000000" w:rsidP="00000000" w:rsidRDefault="00000000" w:rsidRPr="00000000" w14:paraId="0000002A">
      <w:pPr>
        <w:widowControl w:val="1"/>
        <w:spacing w:after="240" w:before="0" w:line="480" w:lineRule="auto"/>
        <w:ind w:firstLine="720"/>
        <w:jc w:val="both"/>
        <w:rPr>
          <w:rFonts w:ascii="Century Schoolbook" w:cs="Century Schoolbook" w:eastAsia="Century Schoolbook" w:hAnsi="Century Schoolbook"/>
          <w:sz w:val="26"/>
          <w:szCs w:val="26"/>
        </w:rPr>
      </w:pPr>
      <w:r>
        <w:t>The desire by one or more Parties to protect the confidentiality of this information and disclose it only in designated ways is good cause for the entry of the present protective order. Accordingly, the Court enters the following order:</w:t>
      </w:r>
    </w:p>
    <w:p w:rsidR="00000000" w:rsidDel="00000000" w:rsidP="00000000" w:rsidRDefault="00000000" w:rsidRPr="00000000" w14:paraId="0000002B">
      <w:pPr>
        <w:widowControl w:val="1"/>
        <w:spacing w:after="240" w:before="240" w:line="480" w:lineRule="auto"/>
        <w:jc w:val="center"/>
        <w:rPr>
          <w:rFonts w:ascii="Century Schoolbook" w:cs="Century Schoolbook" w:eastAsia="Century Schoolbook" w:hAnsi="Century Schoolbook"/>
          <w:b w:val="1"/>
          <w:bCs w:val="1"/>
          <w:sz w:val="26"/>
          <w:szCs w:val="26"/>
          <w:u w:val="single"/>
        </w:rPr>
      </w:pPr>
      <w:r/>
    </w:p>
    <w:p w:rsidR="00000000" w:rsidDel="00000000" w:rsidP="00000000" w:rsidRDefault="00000000" w:rsidRPr="00000000" w14:paraId="0000002C">
      <w:pPr>
        <w:widowControl w:val="1"/>
        <w:spacing w:line="480" w:lineRule="auto"/>
        <w:jc w:val="center"/>
        <w:rPr>
          <w:rFonts w:ascii="Century Schoolbook" w:cs="Century Schoolbook" w:eastAsia="Century Schoolbook" w:hAnsi="Century Schoolbook"/>
          <w:sz w:val="26"/>
          <w:szCs w:val="26"/>
        </w:rPr>
      </w:pPr>
      <w:r>
        <w:t>Definitions</w:t>
      </w:r>
    </w:p>
    <w:p w:rsidR="00000000" w:rsidDel="00000000" w:rsidP="00000000" w:rsidRDefault="00000000" w:rsidRPr="00000000" w14:paraId="0000002D">
      <w:pPr>
        <w:widowControl w:val="1"/>
        <w:spacing w:line="480" w:lineRule="auto"/>
        <w:ind w:firstLine="720"/>
        <w:jc w:val="both"/>
        <w:rPr>
          <w:rFonts w:ascii="Century Schoolbook" w:cs="Century Schoolbook" w:eastAsia="Century Schoolbook" w:hAnsi="Century Schoolbook"/>
          <w:sz w:val="26"/>
          <w:szCs w:val="26"/>
        </w:rPr>
      </w:pPr>
      <w:r>
        <w:t>1. The words set forth below shall have the following meanings in this Protective Order:</w:t>
      </w:r>
    </w:p>
    <w:p w:rsidR="00000000" w:rsidDel="00000000" w:rsidP="00000000" w:rsidRDefault="00000000" w:rsidRPr="00000000" w14:paraId="0000002E">
      <w:pPr>
        <w:widowControl w:val="1"/>
        <w:spacing w:line="480" w:lineRule="auto"/>
        <w:ind w:left="360" w:right="360" w:firstLine="360"/>
        <w:jc w:val="both"/>
        <w:rPr>
          <w:rFonts w:ascii="Century Schoolbook" w:cs="Century Schoolbook" w:eastAsia="Century Schoolbook" w:hAnsi="Century Schoolbook"/>
          <w:sz w:val="26"/>
          <w:szCs w:val="26"/>
        </w:rPr>
      </w:pPr>
      <w:r>
        <w:t>a.  “Action” means the above-entitled proceedings: {{protectiveOrderActionName}} and any appeals therefrom.</w:t>
      </w:r>
    </w:p>
    <w:p w:rsidR="00000000" w:rsidDel="00000000" w:rsidP="00000000" w:rsidRDefault="00000000" w:rsidRPr="00000000" w14:paraId="0000002F">
      <w:pPr>
        <w:widowControl w:val="1"/>
        <w:spacing w:line="480" w:lineRule="auto"/>
        <w:ind w:left="360" w:right="360" w:firstLine="360"/>
        <w:jc w:val="both"/>
        <w:rPr>
          <w:rFonts w:ascii="Century Schoolbook" w:cs="Century Schoolbook" w:eastAsia="Century Schoolbook" w:hAnsi="Century Schoolbook"/>
          <w:sz w:val="26"/>
          <w:szCs w:val="26"/>
        </w:rPr>
      </w:pPr>
      <w:r>
        <w:t>b.  “Attorneys” means counsel of record in this Action, and their employees and staff.</w:t>
      </w:r>
    </w:p>
    <w:p w:rsidR="00000000" w:rsidDel="00000000" w:rsidP="00000000" w:rsidRDefault="00000000" w:rsidRPr="00000000" w14:paraId="00000030">
      <w:pPr>
        <w:widowControl w:val="1"/>
        <w:spacing w:line="480" w:lineRule="auto"/>
        <w:ind w:left="360" w:right="360" w:firstLine="360"/>
        <w:jc w:val="both"/>
        <w:rPr>
          <w:rFonts w:ascii="Century Schoolbook" w:cs="Century Schoolbook" w:eastAsia="Century Schoolbook" w:hAnsi="Century Schoolbook"/>
          <w:sz w:val="26"/>
          <w:szCs w:val="26"/>
        </w:rPr>
      </w:pPr>
      <w:r>
        <w:t>c.  “Confidential Materials” means {{confidentialMaterialsDefinition}}</w:t>
      </w:r>
    </w:p>
    <w:p w:rsidR="00000000" w:rsidDel="00000000" w:rsidP="00000000" w:rsidRDefault="00000000" w:rsidRPr="00000000" w14:paraId="00000031">
      <w:pPr>
        <w:widowControl w:val="1"/>
        <w:spacing w:line="480" w:lineRule="auto"/>
        <w:ind w:left="360" w:right="360" w:firstLine="360"/>
        <w:jc w:val="both"/>
        <w:rPr>
          <w:rFonts w:ascii="Century Schoolbook" w:cs="Century Schoolbook" w:eastAsia="Century Schoolbook" w:hAnsi="Century Schoolbook"/>
          <w:sz w:val="26"/>
          <w:szCs w:val="26"/>
        </w:rPr>
      </w:pPr>
      <w:r>
        <w:t>d.  “Designating Party” or “Producing Party” means the Party that designates any documents, testimony, or information as “Confidential Materials.”</w:t>
      </w:r>
    </w:p>
    <w:p w:rsidR="00000000" w:rsidDel="00000000" w:rsidP="00000000" w:rsidRDefault="00000000" w:rsidRPr="00000000" w14:paraId="00000032">
      <w:pPr>
        <w:widowControl w:val="1"/>
        <w:spacing w:line="480" w:lineRule="auto"/>
        <w:ind w:left="360" w:right="360" w:firstLine="360"/>
        <w:jc w:val="both"/>
        <w:rPr>
          <w:rFonts w:ascii="Century Schoolbook" w:cs="Century Schoolbook" w:eastAsia="Century Schoolbook" w:hAnsi="Century Schoolbook"/>
          <w:sz w:val="26"/>
          <w:szCs w:val="26"/>
        </w:rPr>
      </w:pPr>
      <w:r>
        <w:t>e.  “Disclose” or “Disclosed” or “Disclosure” means to reveal, divulge, produce, give, transfer, communicate, or otherwise make available Confidential Materials or any part thereof or any information contained therein.  It does not include Court filings or use of materials designated as “Confidential” in a hearing or a trial.</w:t>
      </w:r>
    </w:p>
    <w:p w:rsidR="00000000" w:rsidDel="00000000" w:rsidP="00000000" w:rsidRDefault="00000000" w:rsidRPr="00000000" w14:paraId="00000033">
      <w:pPr>
        <w:widowControl w:val="1"/>
        <w:spacing w:line="480" w:lineRule="auto"/>
        <w:ind w:left="360" w:right="360" w:firstLine="360"/>
        <w:jc w:val="both"/>
        <w:rPr>
          <w:rFonts w:ascii="Century Schoolbook" w:cs="Century Schoolbook" w:eastAsia="Century Schoolbook" w:hAnsi="Century Schoolbook"/>
          <w:sz w:val="26"/>
          <w:szCs w:val="26"/>
        </w:rPr>
      </w:pPr>
      <w:r>
        <w:t>f.  “Documents” means any materials within the scope of Mo. R. Civ. P. 58.</w:t>
      </w:r>
    </w:p>
    <w:p w:rsidR="00000000" w:rsidDel="00000000" w:rsidP="00000000" w:rsidRDefault="00000000" w:rsidRPr="00000000" w14:paraId="00000034">
      <w:pPr>
        <w:widowControl w:val="1"/>
        <w:spacing w:line="480" w:lineRule="auto"/>
        <w:ind w:left="360" w:right="360" w:firstLine="360"/>
        <w:jc w:val="both"/>
        <w:rPr>
          <w:rFonts w:ascii="Century Schoolbook" w:cs="Century Schoolbook" w:eastAsia="Century Schoolbook" w:hAnsi="Century Schoolbook"/>
          <w:sz w:val="26"/>
          <w:szCs w:val="26"/>
        </w:rPr>
      </w:pPr>
      <w:r>
        <w:t>g.   “Expert” means a person with specialized knowledge or experience in a matter pertinent to this Action who has been retained by a Party or its counsel to serve as an expert witness or as a consultant in this Action (whether or not retained to testify at any oral hearing) and who is not a past or current employee of any Party.  This definition includes a professional jury or trial consultant and/or a doctor or medical provider or treater.</w:t>
      </w:r>
    </w:p>
    <w:p w:rsidR="00000000" w:rsidDel="00000000" w:rsidP="00000000" w:rsidRDefault="00000000" w:rsidRPr="00000000" w14:paraId="00000035">
      <w:pPr>
        <w:widowControl w:val="1"/>
        <w:spacing w:line="480" w:lineRule="auto"/>
        <w:ind w:left="360" w:right="360" w:firstLine="360"/>
        <w:jc w:val="both"/>
        <w:rPr>
          <w:rFonts w:ascii="Century Schoolbook" w:cs="Century Schoolbook" w:eastAsia="Century Schoolbook" w:hAnsi="Century Schoolbook"/>
          <w:sz w:val="26"/>
          <w:szCs w:val="26"/>
        </w:rPr>
      </w:pPr>
      <w:r>
        <w:t>h.  “Materials” means any Documents, information, testimony, data, or other tangible or intangible items Disclosed in this Action.</w:t>
      </w:r>
    </w:p>
    <w:p w:rsidR="00000000" w:rsidDel="00000000" w:rsidP="00000000" w:rsidRDefault="00000000" w:rsidRPr="00000000" w14:paraId="00000036">
      <w:pPr>
        <w:widowControl w:val="1"/>
        <w:spacing w:line="480" w:lineRule="auto"/>
        <w:ind w:left="360" w:right="360" w:firstLine="360"/>
        <w:jc w:val="both"/>
        <w:rPr>
          <w:rFonts w:ascii="Century Schoolbook" w:cs="Century Schoolbook" w:eastAsia="Century Schoolbook" w:hAnsi="Century Schoolbook"/>
          <w:sz w:val="26"/>
          <w:szCs w:val="26"/>
        </w:rPr>
      </w:pPr>
      <w:r>
        <w:t>i.  “Party” means Plaintiff {{plaintiffName}}, Defendants, or any person acting as an agent or representative thereof.</w:t>
      </w:r>
    </w:p>
    <w:p w:rsidR="00000000" w:rsidDel="00000000" w:rsidP="00000000" w:rsidRDefault="00000000" w:rsidRPr="00000000" w14:paraId="00000037">
      <w:pPr>
        <w:widowControl w:val="1"/>
        <w:spacing w:line="480" w:lineRule="auto"/>
        <w:ind w:left="360" w:right="360" w:firstLine="360"/>
        <w:jc w:val="both"/>
        <w:rPr>
          <w:rFonts w:ascii="Century Schoolbook" w:cs="Century Schoolbook" w:eastAsia="Century Schoolbook" w:hAnsi="Century Schoolbook"/>
          <w:sz w:val="26"/>
          <w:szCs w:val="26"/>
        </w:rPr>
      </w:pPr>
      <w:r>
        <w:t>j.  “Professional Vendor” means a person or entity that provides litigation support services (e.g., photocopying, videotaping, translating, preparing exhibits or demonstrations, organizing, storing, retrieving, or copying data in any form or medium, etc.) and its employees and subcontractors; or a person or entity who is a private investigator, or serves process and/or documents, and its employees and subcontractors; or a person or entity who serves as a jury consultant or other case-related vendor and its employees and subcontractors.</w:t>
      </w:r>
    </w:p>
    <w:p w:rsidR="00000000" w:rsidDel="00000000" w:rsidP="00000000" w:rsidRDefault="00000000" w:rsidRPr="00000000" w14:paraId="00000038">
      <w:pPr>
        <w:widowControl w:val="1"/>
        <w:spacing w:line="480" w:lineRule="auto"/>
        <w:ind w:left="360" w:right="360" w:firstLine="360"/>
        <w:jc w:val="both"/>
        <w:rPr>
          <w:rFonts w:ascii="Century Schoolbook" w:cs="Century Schoolbook" w:eastAsia="Century Schoolbook" w:hAnsi="Century Schoolbook"/>
          <w:sz w:val="26"/>
          <w:szCs w:val="26"/>
        </w:rPr>
      </w:pPr>
      <w:r>
        <w:t>k.  “Witness” means a person who may have discoverable information or who may be called as a witness to trial.</w:t>
      </w:r>
    </w:p>
    <w:p w:rsidR="00000000" w:rsidDel="00000000" w:rsidP="00000000" w:rsidRDefault="00000000" w:rsidRPr="00000000" w14:paraId="00000039">
      <w:pPr>
        <w:widowControl w:val="1"/>
        <w:spacing w:line="480" w:lineRule="auto"/>
        <w:jc w:val="center"/>
        <w:rPr>
          <w:rFonts w:ascii="Century Schoolbook" w:cs="Century Schoolbook" w:eastAsia="Century Schoolbook" w:hAnsi="Century Schoolbook"/>
          <w:sz w:val="26"/>
          <w:szCs w:val="26"/>
        </w:rPr>
      </w:pPr>
      <w:r>
        <w:t>Rights To Designate</w:t>
      </w:r>
    </w:p>
    <w:p w:rsidR="00000000" w:rsidDel="00000000" w:rsidP="00000000" w:rsidRDefault="00000000" w:rsidRPr="00000000" w14:paraId="0000003A">
      <w:pPr>
        <w:widowControl w:val="1"/>
        <w:spacing w:line="480" w:lineRule="auto"/>
        <w:ind w:firstLine="720"/>
        <w:jc w:val="both"/>
        <w:rPr>
          <w:rFonts w:ascii="Century Schoolbook" w:cs="Century Schoolbook" w:eastAsia="Century Schoolbook" w:hAnsi="Century Schoolbook"/>
          <w:sz w:val="26"/>
          <w:szCs w:val="26"/>
        </w:rPr>
      </w:pPr>
      <w:r>
        <w:t xml:space="preserve">2.   Any Party shall have the right to designate as “Confidential” any Materials that it believes in good faith and with good reason are Confidential Materials under the terms and definitions of this order.   </w:t>
      </w:r>
    </w:p>
    <w:p w:rsidR="00000000" w:rsidDel="00000000" w:rsidP="00000000" w:rsidRDefault="00000000" w:rsidRPr="00000000" w14:paraId="0000003B">
      <w:pPr>
        <w:widowControl w:val="1"/>
        <w:spacing w:line="480" w:lineRule="auto"/>
        <w:jc w:val="center"/>
        <w:rPr>
          <w:rFonts w:ascii="Century Schoolbook" w:cs="Century Schoolbook" w:eastAsia="Century Schoolbook" w:hAnsi="Century Schoolbook"/>
          <w:sz w:val="26"/>
          <w:szCs w:val="26"/>
        </w:rPr>
      </w:pPr>
      <w:r>
        <w:t>Process for Designating &amp; Challenging Designations</w:t>
      </w:r>
    </w:p>
    <w:p w:rsidR="00000000" w:rsidDel="00000000" w:rsidP="00000000" w:rsidRDefault="00000000" w:rsidRPr="00000000" w14:paraId="0000003C">
      <w:pPr>
        <w:widowControl w:val="1"/>
        <w:spacing w:line="480" w:lineRule="auto"/>
        <w:ind w:firstLine="720"/>
        <w:jc w:val="both"/>
        <w:rPr>
          <w:rFonts w:ascii="Century Schoolbook" w:cs="Century Schoolbook" w:eastAsia="Century Schoolbook" w:hAnsi="Century Schoolbook"/>
          <w:sz w:val="26"/>
          <w:szCs w:val="26"/>
        </w:rPr>
      </w:pPr>
      <w:r>
        <w:t>3.  Any Materials to be designated as “Confidential” must be clearly so designated before or at the time they are Disclosed, subject to the exceptions provided for.  The Designating Party must provide a “Designation Log” of all Confidential materials with their Bates numbers/Exhibit numbers (if used in a deposition or motion), title, and reason for Confidential designation.  This log must be updated and re-produced within 14 days of each new Confidential designation.  However, it will be presumed that Social Security numbers are Confidential and documents containing Social Security numbers need not be marked or placed on the “Designation Log.”</w:t>
      </w:r>
    </w:p>
    <w:p w:rsidR="00000000" w:rsidDel="00000000" w:rsidP="00000000" w:rsidRDefault="00000000" w:rsidRPr="00000000" w14:paraId="0000003D">
      <w:pPr>
        <w:widowControl w:val="1"/>
        <w:spacing w:line="480" w:lineRule="auto"/>
        <w:ind w:firstLine="720"/>
        <w:jc w:val="both"/>
        <w:rPr>
          <w:rFonts w:ascii="Century Schoolbook" w:cs="Century Schoolbook" w:eastAsia="Century Schoolbook" w:hAnsi="Century Schoolbook"/>
          <w:sz w:val="26"/>
          <w:szCs w:val="26"/>
        </w:rPr>
      </w:pPr>
      <w:r>
        <w:t xml:space="preserve">4.  Documents:  The Designating Party must affix the word “Confidential” on each page of any Document to be designated as a “Confidential Material.”   Each and every page that is confidential must be designated as such or it is not confidential. The “Confidential” designation should not obscure or interfere with the legibility of the designated Materials.  </w:t>
      </w:r>
    </w:p>
    <w:p w:rsidR="00000000" w:rsidDel="00000000" w:rsidP="00000000" w:rsidRDefault="00000000" w:rsidRPr="00000000" w14:paraId="0000003E">
      <w:pPr>
        <w:widowControl w:val="1"/>
        <w:spacing w:line="480" w:lineRule="auto"/>
        <w:ind w:firstLine="720"/>
        <w:jc w:val="both"/>
        <w:rPr>
          <w:rFonts w:ascii="Century Schoolbook" w:cs="Century Schoolbook" w:eastAsia="Century Schoolbook" w:hAnsi="Century Schoolbook"/>
          <w:sz w:val="26"/>
          <w:szCs w:val="26"/>
        </w:rPr>
      </w:pPr>
      <w:r>
        <w:t>5.  Testimony:  Before the close of the deposition, while on the record, the Designating Party shall identify any testimony or exhibits to be designated as “Confidential,” whether this be specific portions of the testimony, specific exhibits referenced thereto, or the testimony and exhibits in their entirety.  The non-Designating Party will have an opportunity to make its objections on the record. If no designations are made before the close of the deposition, the Designating Party may also designate testimony as “Confidential” by written notice to the other party within 14 days of its receipt of the transcript and exhibits. Exhibits previously designated as “Confidential” Documents need not be re-designated.</w:t>
      </w:r>
    </w:p>
    <w:p w:rsidR="00000000" w:rsidDel="00000000" w:rsidP="00000000" w:rsidRDefault="00000000" w:rsidRPr="00000000" w14:paraId="0000003F">
      <w:pPr>
        <w:widowControl w:val="1"/>
        <w:spacing w:line="480" w:lineRule="auto"/>
        <w:ind w:firstLine="720"/>
        <w:jc w:val="both"/>
        <w:rPr>
          <w:rFonts w:ascii="Century Schoolbook" w:cs="Century Schoolbook" w:eastAsia="Century Schoolbook" w:hAnsi="Century Schoolbook"/>
          <w:sz w:val="26"/>
          <w:szCs w:val="26"/>
        </w:rPr>
      </w:pPr>
      <w:r>
        <w:t>6.  Other Materials:  For any Materials not addressed above, the Designating Party shall make the designation by distributing to all Parties a written document specifying what portions of the Materials are to be designated as “Confidential.”  The written document identifying the proper designations must be disseminated before or at the time the Materials are Disclosed.</w:t>
      </w:r>
    </w:p>
    <w:p w:rsidR="00000000" w:rsidDel="00000000" w:rsidP="00000000" w:rsidRDefault="00000000" w:rsidRPr="00000000" w14:paraId="00000040">
      <w:pPr>
        <w:widowControl w:val="1"/>
        <w:spacing w:line="480" w:lineRule="auto"/>
        <w:ind w:firstLine="720"/>
        <w:jc w:val="both"/>
        <w:rPr>
          <w:rFonts w:ascii="Century Schoolbook" w:cs="Century Schoolbook" w:eastAsia="Century Schoolbook" w:hAnsi="Century Schoolbook"/>
          <w:sz w:val="26"/>
          <w:szCs w:val="26"/>
        </w:rPr>
      </w:pPr>
      <w:r>
        <w:t>7.  In the event a Party produces a large volume of Materials for inspection, no designation of confidentiality need be made by the producing Party in advance of the initial inspection.  For purposes of the initial inspection, all Materials shall be treated as “Confidential Materials” for a period of 14 days.  Thereafter, upon selection by inspecting Party of specified Materials for copying, the producing Party shall make the designations in accordance with the procedures specified in paragraphs in this Order.</w:t>
      </w:r>
    </w:p>
    <w:p w:rsidR="00000000" w:rsidDel="00000000" w:rsidP="00000000" w:rsidRDefault="00000000" w:rsidRPr="00000000" w14:paraId="00000041">
      <w:pPr>
        <w:widowControl w:val="1"/>
        <w:spacing w:line="480" w:lineRule="auto"/>
        <w:ind w:firstLine="720"/>
        <w:jc w:val="both"/>
        <w:rPr>
          <w:rFonts w:ascii="Century Schoolbook" w:cs="Century Schoolbook" w:eastAsia="Century Schoolbook" w:hAnsi="Century Schoolbook"/>
          <w:sz w:val="26"/>
          <w:szCs w:val="26"/>
        </w:rPr>
      </w:pPr>
      <w:r>
        <w:t xml:space="preserve">8.  Challenging Designations:  In the event that counsel for a Party receiving Materials designated as “Confidential” objects to such designation with respect to any or all such Materials, the Parties shall first try to resolve such dispute in good faith on an informal basis.  If the dispute cannot be resolved informally, counsel for Party objecting to the designations shall advise counsel for the Designating Party, in writing, of its objections, the specific Materials to which each objection pertains, and the specific reasons and support for such objections (the “Designation Objections”).  Counsel for the Designating Party shall have thirty (30) days from receipt of the written Designation Objections to either (a) agree in writing to de-designate the Materials pursuant to any or all of the Designation Objections and/or (b) provide in writing brief explanations supporting its choice of designation for the Materials in question.  If the Party objecting to the Designations remains dissatisfied, it may apply for appropriate relief with the Court (the “Designation Motion”). The Designating Party shall have the burden of establishing that the Materials are entitled to their “Confidential” designations.  Pending a resolution of the Designation Motion by this Court, any and all existing designations of the Materials at issue in such Motion shall remain in place.      </w:t>
      </w:r>
    </w:p>
    <w:p w:rsidR="00000000" w:rsidDel="00000000" w:rsidP="00000000" w:rsidRDefault="00000000" w:rsidRPr="00000000" w14:paraId="00000042">
      <w:pPr>
        <w:widowControl w:val="1"/>
        <w:spacing w:line="480" w:lineRule="auto"/>
        <w:jc w:val="center"/>
        <w:rPr>
          <w:rFonts w:ascii="Century Schoolbook" w:cs="Century Schoolbook" w:eastAsia="Century Schoolbook" w:hAnsi="Century Schoolbook"/>
          <w:sz w:val="26"/>
          <w:szCs w:val="26"/>
        </w:rPr>
      </w:pPr>
      <w:r>
        <w:t>Access to Designated Materials</w:t>
      </w:r>
    </w:p>
    <w:p w:rsidR="00000000" w:rsidDel="00000000" w:rsidP="00000000" w:rsidRDefault="00000000" w:rsidRPr="00000000" w14:paraId="00000043">
      <w:pPr>
        <w:widowControl w:val="1"/>
        <w:spacing w:line="480" w:lineRule="auto"/>
        <w:ind w:firstLine="720"/>
        <w:jc w:val="both"/>
        <w:rPr>
          <w:rFonts w:ascii="Century Schoolbook" w:cs="Century Schoolbook" w:eastAsia="Century Schoolbook" w:hAnsi="Century Schoolbook"/>
          <w:sz w:val="26"/>
          <w:szCs w:val="26"/>
        </w:rPr>
      </w:pPr>
      <w:r>
        <w:t>9.  Access to and/or Disclosure of Confidential Materials shall be permitted only to the following persons or entities:</w:t>
      </w:r>
    </w:p>
    <w:p w:rsidR="00000000" w:rsidDel="00000000" w:rsidP="00000000" w:rsidRDefault="00000000" w:rsidRPr="00000000" w14:paraId="00000044">
      <w:pPr>
        <w:widowControl w:val="1"/>
        <w:spacing w:line="480" w:lineRule="auto"/>
        <w:ind w:left="360" w:right="360" w:firstLine="360"/>
        <w:jc w:val="both"/>
        <w:rPr>
          <w:rFonts w:ascii="Century Schoolbook" w:cs="Century Schoolbook" w:eastAsia="Century Schoolbook" w:hAnsi="Century Schoolbook"/>
          <w:sz w:val="26"/>
          <w:szCs w:val="26"/>
        </w:rPr>
      </w:pPr>
      <w:r>
        <w:t>a.    the Court (and its staff and employees);</w:t>
      </w:r>
    </w:p>
    <w:p w:rsidR="00000000" w:rsidDel="00000000" w:rsidP="00000000" w:rsidRDefault="00000000" w:rsidRPr="00000000" w14:paraId="00000045">
      <w:pPr>
        <w:widowControl w:val="1"/>
        <w:spacing w:line="480" w:lineRule="auto"/>
        <w:ind w:left="360" w:right="360" w:firstLine="360"/>
        <w:jc w:val="both"/>
        <w:rPr>
          <w:rFonts w:ascii="Century Schoolbook" w:cs="Century Schoolbook" w:eastAsia="Century Schoolbook" w:hAnsi="Century Schoolbook"/>
          <w:sz w:val="26"/>
          <w:szCs w:val="26"/>
        </w:rPr>
      </w:pPr>
      <w:r>
        <w:t xml:space="preserve">b.  (1) Attorneys (including their affiliated attorneys, paralegals, clerical and secretarial staff employed by such attorneys who are actively involved in the Action and are not employees of any Party); and (2) in-house counsel to the undersigned Parties and the paralegal, clerical and secretarial staff employed by such counsel; </w:t>
      </w:r>
    </w:p>
    <w:p w:rsidR="00000000" w:rsidDel="00000000" w:rsidP="00000000" w:rsidRDefault="00000000" w:rsidRPr="00000000" w14:paraId="00000046">
      <w:pPr>
        <w:widowControl w:val="1"/>
        <w:spacing w:line="480" w:lineRule="auto"/>
        <w:ind w:left="360" w:right="360" w:firstLine="360"/>
        <w:jc w:val="both"/>
        <w:rPr>
          <w:rFonts w:ascii="Century Schoolbook" w:cs="Century Schoolbook" w:eastAsia="Century Schoolbook" w:hAnsi="Century Schoolbook"/>
          <w:sz w:val="26"/>
          <w:szCs w:val="26"/>
        </w:rPr>
      </w:pPr>
      <w:r>
        <w:t>c.   those individuals who are Parties or those officers, directors, partners, members, employees, close family members, and agents of all non-Designating Parties that counsel for such Parties deems necessary to aid counsel in the prosecution and defense of this Action; provided, however, that prior to the Disclosure of Confidential Materials to any such individuals who are Parties or any such officer, director, partner, member, employee or agent, counsel for the Party making the Disclosure shall explain this Protective Order to such person and shall explain that such person is bound to follow the terms of such Order.</w:t>
      </w:r>
    </w:p>
    <w:p w:rsidR="00000000" w:rsidDel="00000000" w:rsidP="00000000" w:rsidRDefault="00000000" w:rsidRPr="00000000" w14:paraId="00000047">
      <w:pPr>
        <w:widowControl w:val="1"/>
        <w:spacing w:line="480" w:lineRule="auto"/>
        <w:ind w:left="360" w:right="360" w:firstLine="360"/>
        <w:jc w:val="both"/>
        <w:rPr>
          <w:rFonts w:ascii="Century Schoolbook" w:cs="Century Schoolbook" w:eastAsia="Century Schoolbook" w:hAnsi="Century Schoolbook"/>
          <w:sz w:val="26"/>
          <w:szCs w:val="26"/>
        </w:rPr>
      </w:pPr>
      <w:r>
        <w:t>d.  court reporters or videographers in this Action (whether at depositions, hearings, or any other proceeding);</w:t>
      </w:r>
    </w:p>
    <w:p w:rsidR="00000000" w:rsidDel="00000000" w:rsidP="00000000" w:rsidRDefault="00000000" w:rsidRPr="00000000" w14:paraId="00000048">
      <w:pPr>
        <w:widowControl w:val="1"/>
        <w:spacing w:line="480" w:lineRule="auto"/>
        <w:ind w:left="360" w:right="360" w:firstLine="360"/>
        <w:jc w:val="both"/>
        <w:rPr>
          <w:rFonts w:ascii="Century Schoolbook" w:cs="Century Schoolbook" w:eastAsia="Century Schoolbook" w:hAnsi="Century Schoolbook"/>
          <w:sz w:val="26"/>
          <w:szCs w:val="26"/>
        </w:rPr>
      </w:pPr>
      <w:r>
        <w:t>e.   any person shown on the face of a Document to have authored, received, seen, or referenced in the Materials designated “Confidential;” or alternately, any person who is known (through discovery or good faith beliefs) to have authored, received, or seen the Materials designated “Confidential.”</w:t>
      </w:r>
    </w:p>
    <w:p w:rsidR="00000000" w:rsidDel="00000000" w:rsidP="00000000" w:rsidRDefault="00000000" w:rsidRPr="00000000" w14:paraId="00000049">
      <w:pPr>
        <w:widowControl w:val="1"/>
        <w:spacing w:line="480" w:lineRule="auto"/>
        <w:ind w:left="360" w:right="360" w:firstLine="360"/>
        <w:jc w:val="both"/>
        <w:rPr>
          <w:rFonts w:ascii="Century Schoolbook" w:cs="Century Schoolbook" w:eastAsia="Century Schoolbook" w:hAnsi="Century Schoolbook"/>
          <w:sz w:val="26"/>
          <w:szCs w:val="26"/>
        </w:rPr>
      </w:pPr>
      <w:r>
        <w:t>f.   any potential or actual deposition, trial, or hearing witness in the Action who previously has had access to the Confidential Materials, or who is currently or was previously an officer, director, partner, member, employee or agent of an entity that has had access to the Confidential Materials;</w:t>
      </w:r>
    </w:p>
    <w:p w:rsidR="00000000" w:rsidDel="00000000" w:rsidP="00000000" w:rsidRDefault="00000000" w:rsidRPr="00000000" w14:paraId="0000004A">
      <w:pPr>
        <w:widowControl w:val="1"/>
        <w:spacing w:line="480" w:lineRule="auto"/>
        <w:ind w:left="360" w:right="360" w:firstLine="360"/>
        <w:jc w:val="both"/>
        <w:rPr>
          <w:rFonts w:ascii="Century Schoolbook" w:cs="Century Schoolbook" w:eastAsia="Century Schoolbook" w:hAnsi="Century Schoolbook"/>
          <w:sz w:val="26"/>
          <w:szCs w:val="26"/>
        </w:rPr>
      </w:pPr>
      <w:r>
        <w:t>g.   Professional Vendors;</w:t>
      </w:r>
    </w:p>
    <w:p w:rsidR="00000000" w:rsidDel="00000000" w:rsidP="00000000" w:rsidRDefault="00000000" w:rsidRPr="00000000" w14:paraId="0000004B">
      <w:pPr>
        <w:widowControl w:val="1"/>
        <w:spacing w:line="480" w:lineRule="auto"/>
        <w:ind w:left="360" w:right="360" w:firstLine="360"/>
        <w:jc w:val="both"/>
        <w:rPr>
          <w:rFonts w:ascii="Century Schoolbook" w:cs="Century Schoolbook" w:eastAsia="Century Schoolbook" w:hAnsi="Century Schoolbook"/>
          <w:sz w:val="26"/>
          <w:szCs w:val="26"/>
        </w:rPr>
      </w:pPr>
      <w:r>
        <w:t>h.  mediators and/or arbitrators (including their employees and staff) the Parties retain in connection with this Action;</w:t>
      </w:r>
    </w:p>
    <w:p w:rsidR="00000000" w:rsidDel="00000000" w:rsidP="00000000" w:rsidRDefault="00000000" w:rsidRPr="00000000" w14:paraId="0000004C">
      <w:pPr>
        <w:widowControl w:val="1"/>
        <w:spacing w:line="480" w:lineRule="auto"/>
        <w:ind w:left="360" w:right="360" w:firstLine="360"/>
        <w:jc w:val="both"/>
        <w:rPr>
          <w:rFonts w:ascii="Century Schoolbook" w:cs="Century Schoolbook" w:eastAsia="Century Schoolbook" w:hAnsi="Century Schoolbook"/>
          <w:sz w:val="26"/>
          <w:szCs w:val="26"/>
        </w:rPr>
      </w:pPr>
      <w:r>
        <w:t>i.  any witness in the Action who previously did not have access to the Confidential Materials; provided, however, that each such witness given access to Confidential Materials shall be advised that such materials are being Disclosed pursuant to, and are subject to, the terms of this Protective Order and that they may not be Disclosed other than pursuant to its terms;</w:t>
      </w:r>
    </w:p>
    <w:p w:rsidR="00000000" w:rsidDel="00000000" w:rsidP="00000000" w:rsidRDefault="00000000" w:rsidRPr="00000000" w14:paraId="0000004D">
      <w:pPr>
        <w:widowControl w:val="1"/>
        <w:spacing w:line="480" w:lineRule="auto"/>
        <w:ind w:left="360" w:right="360" w:firstLine="360"/>
        <w:jc w:val="both"/>
        <w:rPr>
          <w:rFonts w:ascii="Century Schoolbook" w:cs="Century Schoolbook" w:eastAsia="Century Schoolbook" w:hAnsi="Century Schoolbook"/>
          <w:sz w:val="26"/>
          <w:szCs w:val="26"/>
        </w:rPr>
      </w:pPr>
      <w:r>
        <w:t xml:space="preserve">j.  mock jury participants; provided, however, that prior to the Disclosure of Confidential Materials to any such mock jury participant, counsel for the Party making the Disclosure shall explain the terms of the Protective Order to each person and secure their compliance with it.  </w:t>
      </w:r>
    </w:p>
    <w:p w:rsidR="00000000" w:rsidDel="00000000" w:rsidP="00000000" w:rsidRDefault="00000000" w:rsidRPr="00000000" w14:paraId="0000004E">
      <w:pPr>
        <w:widowControl w:val="1"/>
        <w:spacing w:line="480" w:lineRule="auto"/>
        <w:ind w:left="360" w:right="360" w:firstLine="360"/>
        <w:jc w:val="both"/>
        <w:rPr>
          <w:rFonts w:ascii="Century Schoolbook" w:cs="Century Schoolbook" w:eastAsia="Century Schoolbook" w:hAnsi="Century Schoolbook"/>
          <w:sz w:val="26"/>
          <w:szCs w:val="26"/>
        </w:rPr>
      </w:pPr>
      <w:r>
        <w:t>k.  Experts and the clerical staff in their employ; provided, however, that prior to the Disclosure of Confidential Materials to any such Expert or clerical staff, counsel for the Party making the Disclosure shall disclose the existence of a Protective Order to such person and shall explain its terms to such person; and</w:t>
      </w:r>
    </w:p>
    <w:p w:rsidR="00000000" w:rsidDel="00000000" w:rsidP="00000000" w:rsidRDefault="00000000" w:rsidRPr="00000000" w14:paraId="0000004F">
      <w:pPr>
        <w:widowControl w:val="1"/>
        <w:spacing w:line="480" w:lineRule="auto"/>
        <w:ind w:left="360" w:right="360" w:firstLine="360"/>
        <w:jc w:val="both"/>
        <w:rPr>
          <w:rFonts w:ascii="Century Schoolbook" w:cs="Century Schoolbook" w:eastAsia="Century Schoolbook" w:hAnsi="Century Schoolbook"/>
          <w:sz w:val="26"/>
          <w:szCs w:val="26"/>
        </w:rPr>
      </w:pPr>
      <w:r>
        <w:t>l.  Any other person or entity that Parties agree to in writing.</w:t>
      </w:r>
    </w:p>
    <w:p w:rsidR="00000000" w:rsidDel="00000000" w:rsidP="00000000" w:rsidRDefault="00000000" w:rsidRPr="00000000" w14:paraId="00000050">
      <w:pPr>
        <w:widowControl w:val="1"/>
        <w:spacing w:line="480" w:lineRule="auto"/>
        <w:jc w:val="center"/>
        <w:rPr>
          <w:rFonts w:ascii="Century Schoolbook" w:cs="Century Schoolbook" w:eastAsia="Century Schoolbook" w:hAnsi="Century Schoolbook"/>
          <w:sz w:val="26"/>
          <w:szCs w:val="26"/>
        </w:rPr>
      </w:pPr>
      <w:r>
        <w:t>Use of Designated Materials</w:t>
      </w:r>
    </w:p>
    <w:p w:rsidR="00000000" w:rsidDel="00000000" w:rsidP="00000000" w:rsidRDefault="00000000" w:rsidRPr="00000000" w14:paraId="00000051">
      <w:pPr>
        <w:widowControl w:val="1"/>
        <w:spacing w:line="480" w:lineRule="auto"/>
        <w:ind w:firstLine="720"/>
        <w:jc w:val="both"/>
        <w:rPr>
          <w:rFonts w:ascii="Century Schoolbook" w:cs="Century Schoolbook" w:eastAsia="Century Schoolbook" w:hAnsi="Century Schoolbook"/>
          <w:sz w:val="26"/>
          <w:szCs w:val="26"/>
        </w:rPr>
      </w:pPr>
      <w:r>
        <w:t>10.  Confidential Materials shall be used by the persons or entities receiving them only for the purposes of preparing for, conducting, participating in the conduct of, and/or prosecuting and/or defending the Action.</w:t>
      </w:r>
    </w:p>
    <w:p w:rsidR="00000000" w:rsidDel="00000000" w:rsidP="00000000" w:rsidRDefault="00000000" w:rsidRPr="00000000" w14:paraId="00000052">
      <w:pPr>
        <w:widowControl w:val="1"/>
        <w:spacing w:line="480" w:lineRule="auto"/>
        <w:ind w:firstLine="720"/>
        <w:jc w:val="both"/>
        <w:rPr>
          <w:rFonts w:ascii="Century Schoolbook" w:cs="Century Schoolbook" w:eastAsia="Century Schoolbook" w:hAnsi="Century Schoolbook"/>
          <w:sz w:val="26"/>
          <w:szCs w:val="26"/>
        </w:rPr>
      </w:pPr>
      <w:r>
        <w:t xml:space="preserve">11.  The entry of this Protective Order does not alter, waive, modify, or abridge any right, privilege, or protection otherwise available to any Party with respect to the discovery of matters, including but not limited to any Party’s right to assert the attorney-client privilege, the attorney work product doctrine, or any other privileges, protections or privacy rights, or any Party’s right to contest any such assertion. </w:t>
      </w:r>
    </w:p>
    <w:p w:rsidR="00000000" w:rsidDel="00000000" w:rsidP="00000000" w:rsidRDefault="00000000" w:rsidRPr="00000000" w14:paraId="00000053">
      <w:pPr>
        <w:widowControl w:val="1"/>
        <w:spacing w:line="480" w:lineRule="auto"/>
        <w:ind w:firstLine="720"/>
        <w:jc w:val="both"/>
        <w:rPr>
          <w:rFonts w:ascii="Century Schoolbook" w:cs="Century Schoolbook" w:eastAsia="Century Schoolbook" w:hAnsi="Century Schoolbook"/>
          <w:sz w:val="26"/>
          <w:szCs w:val="26"/>
        </w:rPr>
      </w:pPr>
      <w:r>
        <w:t xml:space="preserve">12.  Parties shall take reasonable steps to file any Confidential material with the Court with an appropriate designation of confidentiality, either by making an appropriate e-filing Note to Clerk on Casenet, emailing the Confidential material directly to the Court, or moving for leave to file Confidential material under seal.  The parties and Court recognize that under Missouri law, there is a strong presumption of public access to court records, and the fact that a document has been filed confidentially is not binding on the Court. Further, by filing Confidential material with the Court in a non-public manner, a party is not waiving the right to raise to the Court that the party believes the material should be public. If a Party inadvertently files a document containing Confidential Materials with the Court, the burden falls upon the Designating/Producing Party to file a motion to seal with the Court, and any disputes about filing of such material shall first be discussed by the Parties.  Any party shall have a reasonable opportunity, after a dispute is raised, to cure any alleged failure to follow the provisions of this Order before recourse is made to the Court. </w:t>
      </w:r>
    </w:p>
    <w:p w:rsidR="00000000" w:rsidDel="00000000" w:rsidP="00000000" w:rsidRDefault="00000000" w:rsidRPr="00000000" w14:paraId="00000054">
      <w:pPr>
        <w:widowControl w:val="1"/>
        <w:spacing w:line="480" w:lineRule="auto"/>
        <w:ind w:firstLine="720"/>
        <w:jc w:val="both"/>
        <w:rPr>
          <w:rFonts w:ascii="Century Schoolbook" w:cs="Century Schoolbook" w:eastAsia="Century Schoolbook" w:hAnsi="Century Schoolbook"/>
          <w:sz w:val="26"/>
          <w:szCs w:val="26"/>
        </w:rPr>
      </w:pPr>
      <w:r>
        <w:t>13.  Confidential Materials may be redesignated as not Confidential after they are used at a hearing or in trial.</w:t>
      </w:r>
    </w:p>
    <w:p w:rsidR="00000000" w:rsidDel="00000000" w:rsidP="00000000" w:rsidRDefault="00000000" w:rsidRPr="00000000" w14:paraId="00000055">
      <w:pPr>
        <w:widowControl w:val="1"/>
        <w:spacing w:line="480" w:lineRule="auto"/>
        <w:ind w:left="0" w:firstLine="0"/>
        <w:jc w:val="both"/>
        <w:rPr>
          <w:rFonts w:ascii="Century Schoolbook" w:cs="Century Schoolbook" w:eastAsia="Century Schoolbook" w:hAnsi="Century Schoolbook"/>
          <w:sz w:val="26"/>
          <w:szCs w:val="26"/>
        </w:rPr>
      </w:pPr>
      <w:r/>
    </w:p>
    <w:p w:rsidR="00000000" w:rsidDel="00000000" w:rsidP="00000000" w:rsidRDefault="00000000" w:rsidRPr="00000000" w14:paraId="00000056">
      <w:pPr>
        <w:widowControl w:val="1"/>
        <w:spacing w:line="480" w:lineRule="auto"/>
        <w:jc w:val="center"/>
        <w:rPr>
          <w:rFonts w:ascii="Century Schoolbook" w:cs="Century Schoolbook" w:eastAsia="Century Schoolbook" w:hAnsi="Century Schoolbook"/>
          <w:b w:val="1"/>
          <w:bCs w:val="1"/>
          <w:sz w:val="26"/>
          <w:szCs w:val="26"/>
          <w:u w:val="single"/>
        </w:rPr>
      </w:pPr>
      <w:r>
        <w:t>Inadvertent Failure to Designate/Inadvertent Disclosure</w:t>
      </w:r>
    </w:p>
    <w:p w:rsidR="00000000" w:rsidDel="00000000" w:rsidP="00000000" w:rsidRDefault="00000000" w:rsidRPr="00000000" w14:paraId="00000057">
      <w:pPr>
        <w:widowControl w:val="1"/>
        <w:spacing w:line="480" w:lineRule="auto"/>
        <w:ind w:firstLine="720"/>
        <w:jc w:val="both"/>
        <w:rPr>
          <w:rFonts w:ascii="Century Schoolbook" w:cs="Century Schoolbook" w:eastAsia="Century Schoolbook" w:hAnsi="Century Schoolbook"/>
          <w:sz w:val="26"/>
          <w:szCs w:val="26"/>
        </w:rPr>
      </w:pPr>
      <w:r>
        <w:t>14.  The inadvertent Disclosure by any of the Parties or non-Parties of any Materials in this Action without a “Confidential” designation, shall be without prejudice to any claim that such Materials are “Confidential” and such Party shall not be held to have waived any rights by such inadvertent Disclosure.</w:t>
      </w:r>
    </w:p>
    <w:p w:rsidR="00000000" w:rsidDel="00000000" w:rsidP="00000000" w:rsidRDefault="00000000" w:rsidRPr="00000000" w14:paraId="00000058">
      <w:pPr>
        <w:widowControl w:val="1"/>
        <w:spacing w:line="480" w:lineRule="auto"/>
        <w:ind w:firstLine="720"/>
        <w:jc w:val="both"/>
        <w:rPr>
          <w:rFonts w:ascii="Century Schoolbook" w:cs="Century Schoolbook" w:eastAsia="Century Schoolbook" w:hAnsi="Century Schoolbook"/>
          <w:sz w:val="26"/>
          <w:szCs w:val="26"/>
        </w:rPr>
      </w:pPr>
      <w:r>
        <w:t>15.  The inadvertent Disclosure of Materials subject to the attorney-client privilege, attorney work product doctrine, or other applicable privileges shall not be deemed a waiver of any privilege or doctrine or protection.</w:t>
      </w:r>
    </w:p>
    <w:p w:rsidR="00000000" w:rsidDel="00000000" w:rsidP="00000000" w:rsidRDefault="00000000" w:rsidRPr="00000000" w14:paraId="00000059">
      <w:pPr>
        <w:widowControl w:val="1"/>
        <w:spacing w:line="480" w:lineRule="auto"/>
        <w:ind w:firstLine="720"/>
        <w:jc w:val="both"/>
        <w:rPr>
          <w:rFonts w:ascii="Century Schoolbook" w:cs="Century Schoolbook" w:eastAsia="Century Schoolbook" w:hAnsi="Century Schoolbook"/>
          <w:sz w:val="26"/>
          <w:szCs w:val="26"/>
        </w:rPr>
      </w:pPr>
      <w:r>
        <w:t>16.  Whenever counsel receives Materials that obviously appear to be subject to the attorney-client privilege, work production doctrine, or other applicable privileges and where it is reasonably apparent that the Materials were provided or made available through inadvertence, the lawyer receiving such Materials should refrain from examining them any more than is essential to ascertain if they are privileged, and shall immediately notify the sender that he or she possesses Materials that appear to be privileged.  The receiving lawyer shall also destroy all copies of the privileged, inadvertently disclosed Materials.</w:t>
      </w:r>
    </w:p>
    <w:p w:rsidR="00000000" w:rsidDel="00000000" w:rsidP="00000000" w:rsidRDefault="00000000" w:rsidRPr="00000000" w14:paraId="0000005A">
      <w:pPr>
        <w:widowControl w:val="1"/>
        <w:spacing w:line="480" w:lineRule="auto"/>
        <w:ind w:firstLine="720"/>
        <w:jc w:val="both"/>
        <w:rPr>
          <w:rFonts w:ascii="Century Schoolbook" w:cs="Century Schoolbook" w:eastAsia="Century Schoolbook" w:hAnsi="Century Schoolbook"/>
          <w:sz w:val="26"/>
          <w:szCs w:val="26"/>
        </w:rPr>
      </w:pPr>
      <w:r>
        <w:t xml:space="preserve">17.  In the event of an inadvertent Disclosure of Materials subject to the attorney-client privilege, the work product doctrine, or other applicable privilege, the producing Party may give written notice to the receiving Parties that the Materials are privileged or immune from discovery, stating the grounds for such privilege or immunity, and request that they be returned to the producing Party.  The producing Party shall give such notice as soon as practicable after discovering the inadvertent Disclosure.  Immediately upon receiving such notice, the receiving Parties may not use the alleged privileged Materials, and shall immediately segregate them in a manner that will prevent further Disclosure or dissemination of their contents.  </w:t>
      </w:r>
    </w:p>
    <w:p w:rsidR="00000000" w:rsidDel="00000000" w:rsidP="00000000" w:rsidRDefault="00000000" w:rsidRPr="00000000" w14:paraId="0000005B">
      <w:pPr>
        <w:widowControl w:val="1"/>
        <w:spacing w:line="480" w:lineRule="auto"/>
        <w:jc w:val="center"/>
        <w:rPr>
          <w:rFonts w:ascii="Century Schoolbook" w:cs="Century Schoolbook" w:eastAsia="Century Schoolbook" w:hAnsi="Century Schoolbook"/>
          <w:sz w:val="26"/>
          <w:szCs w:val="26"/>
        </w:rPr>
      </w:pPr>
      <w:r>
        <w:t>Non-Parties</w:t>
      </w:r>
    </w:p>
    <w:p w:rsidR="00000000" w:rsidDel="00000000" w:rsidP="00000000" w:rsidRDefault="00000000" w:rsidRPr="00000000" w14:paraId="0000005C">
      <w:pPr>
        <w:widowControl w:val="1"/>
        <w:spacing w:line="480" w:lineRule="auto"/>
        <w:ind w:firstLine="720"/>
        <w:jc w:val="both"/>
        <w:rPr>
          <w:rFonts w:ascii="Century Schoolbook" w:cs="Century Schoolbook" w:eastAsia="Century Schoolbook" w:hAnsi="Century Schoolbook"/>
          <w:sz w:val="26"/>
          <w:szCs w:val="26"/>
        </w:rPr>
      </w:pPr>
      <w:r>
        <w:t>18.   Any Materials that may be produced by a non-Party in discovery in this Action pursuant to subpoena or otherwise may be designated by such non-Party or any Party as “Confidential” under the terms of this Protective Order.  Any such designation by a non-Party shall have the same force and effect, and create the same duties and obligations, as if made by one of the undersigned Parties hereto. Any such designation shall also function as consent by such producing non-Party to the authority of the Court in the Action to resolve and conclusively determine any motion or other application made by any person or Party with respect to such designation, or any other matter otherwise arising under this Protective Order.</w:t>
      </w:r>
    </w:p>
    <w:p w:rsidR="00000000" w:rsidDel="00000000" w:rsidP="00000000" w:rsidRDefault="00000000" w:rsidRPr="00000000" w14:paraId="0000005D">
      <w:pPr>
        <w:widowControl w:val="1"/>
        <w:spacing w:line="480" w:lineRule="auto"/>
        <w:jc w:val="center"/>
        <w:rPr>
          <w:rFonts w:ascii="Century Schoolbook" w:cs="Century Schoolbook" w:eastAsia="Century Schoolbook" w:hAnsi="Century Schoolbook"/>
          <w:b w:val="1"/>
          <w:bCs w:val="1"/>
          <w:sz w:val="26"/>
          <w:szCs w:val="26"/>
          <w:u w:val="single"/>
        </w:rPr>
      </w:pPr>
      <w:r/>
    </w:p>
    <w:p w:rsidR="00000000" w:rsidDel="00000000" w:rsidP="00000000" w:rsidRDefault="00000000" w:rsidRPr="00000000" w14:paraId="0000005E">
      <w:pPr>
        <w:widowControl w:val="1"/>
        <w:spacing w:line="480" w:lineRule="auto"/>
        <w:jc w:val="center"/>
        <w:rPr>
          <w:rFonts w:ascii="Century Schoolbook" w:cs="Century Schoolbook" w:eastAsia="Century Schoolbook" w:hAnsi="Century Schoolbook"/>
          <w:sz w:val="26"/>
          <w:szCs w:val="26"/>
        </w:rPr>
      </w:pPr>
      <w:r>
        <w:t>Disposition</w:t>
      </w:r>
    </w:p>
    <w:p w:rsidR="00000000" w:rsidDel="00000000" w:rsidP="00000000" w:rsidRDefault="00000000" w:rsidRPr="00000000" w14:paraId="0000005F">
      <w:pPr>
        <w:widowControl w:val="1"/>
        <w:spacing w:line="480" w:lineRule="auto"/>
        <w:ind w:firstLine="720"/>
        <w:jc w:val="both"/>
        <w:rPr>
          <w:rFonts w:ascii="Century Schoolbook" w:cs="Century Schoolbook" w:eastAsia="Century Schoolbook" w:hAnsi="Century Schoolbook"/>
          <w:sz w:val="26"/>
          <w:szCs w:val="26"/>
        </w:rPr>
      </w:pPr>
      <w:r>
        <w:t xml:space="preserve">19.  To the extent permitted by law, the Court shall retain jurisdiction to enforce, modify, or reconsider this Protective Order, even after the Action is terminated. </w:t>
      </w:r>
    </w:p>
    <w:p w:rsidR="00000000" w:rsidDel="00000000" w:rsidP="00000000" w:rsidRDefault="00000000" w:rsidRPr="00000000" w14:paraId="00000060">
      <w:pPr>
        <w:widowControl w:val="1"/>
        <w:spacing w:line="480" w:lineRule="auto"/>
        <w:jc w:val="center"/>
        <w:rPr>
          <w:rFonts w:ascii="Century Schoolbook" w:cs="Century Schoolbook" w:eastAsia="Century Schoolbook" w:hAnsi="Century Schoolbook"/>
          <w:sz w:val="26"/>
          <w:szCs w:val="26"/>
        </w:rPr>
      </w:pPr>
      <w:r>
        <w:t>Miscellaneous Provisions</w:t>
      </w:r>
    </w:p>
    <w:p w:rsidR="00000000" w:rsidDel="00000000" w:rsidP="00000000" w:rsidRDefault="00000000" w:rsidRPr="00000000" w14:paraId="00000061">
      <w:pPr>
        <w:widowControl w:val="1"/>
        <w:spacing w:line="480" w:lineRule="auto"/>
        <w:ind w:firstLine="720"/>
        <w:jc w:val="both"/>
        <w:rPr>
          <w:rFonts w:ascii="Century Schoolbook" w:cs="Century Schoolbook" w:eastAsia="Century Schoolbook" w:hAnsi="Century Schoolbook"/>
          <w:sz w:val="26"/>
          <w:szCs w:val="26"/>
        </w:rPr>
      </w:pPr>
      <w:r>
        <w:t>20.  Any Party (or other person subject to the terms of this Protective Order) may ask the Court, after appropriate notice to the other Parties to the Proceeding, to modify or grant relief from any provision of this Protective Order.</w:t>
      </w:r>
    </w:p>
    <w:p w:rsidR="00000000" w:rsidDel="00000000" w:rsidP="00000000" w:rsidRDefault="00000000" w:rsidRPr="00000000" w14:paraId="00000062">
      <w:pPr>
        <w:widowControl w:val="1"/>
        <w:spacing w:line="480" w:lineRule="auto"/>
        <w:ind w:firstLine="720"/>
        <w:jc w:val="both"/>
        <w:rPr>
          <w:rFonts w:ascii="Century Schoolbook" w:cs="Century Schoolbook" w:eastAsia="Century Schoolbook" w:hAnsi="Century Schoolbook"/>
          <w:sz w:val="26"/>
          <w:szCs w:val="26"/>
        </w:rPr>
      </w:pPr>
      <w:r>
        <w:t>21.  Entering into, agreeing to, and/or complying with the terms of this Protective Order shall not prejudice in any way the right of any Party (or any other person subject to the terms of this Protective Order): (i) to seek a determination by the Court of whether any particular Confidential Materials should be subject to protection under the terms of this Protective Order; or (ii) to seek relief from the Court on appropriate notice to all other Parties to the Proceeding from any provision(s) of this Protective Order, either generally or as to any particular Materials.</w:t>
      </w:r>
    </w:p>
    <w:p w:rsidR="00000000" w:rsidDel="00000000" w:rsidP="00000000" w:rsidRDefault="00000000" w:rsidRPr="00000000" w14:paraId="00000063">
      <w:pPr>
        <w:widowControl w:val="1"/>
        <w:spacing w:line="480" w:lineRule="auto"/>
        <w:ind w:firstLine="720"/>
        <w:jc w:val="both"/>
        <w:rPr>
          <w:rFonts w:ascii="Century Schoolbook" w:cs="Century Schoolbook" w:eastAsia="Century Schoolbook" w:hAnsi="Century Schoolbook"/>
          <w:sz w:val="26"/>
          <w:szCs w:val="26"/>
        </w:rPr>
      </w:pPr>
      <w:r>
        <w:t xml:space="preserve">22.  Nothing in this Protective Order shall affect the admissibility into evidence of Confidential Materials, or abridge the rights of any person to seek judicial review or to pursue other appropriate judicial action with respect to any ruling made by this Court concerning the issue of the status of any Confidential Materials. </w:t>
      </w:r>
    </w:p>
    <w:p w:rsidR="00000000" w:rsidDel="00000000" w:rsidP="00000000" w:rsidRDefault="00000000" w:rsidRPr="00000000" w14:paraId="00000064">
      <w:pPr>
        <w:widowControl w:val="1"/>
        <w:spacing w:line="480" w:lineRule="auto"/>
        <w:ind w:firstLine="720"/>
        <w:jc w:val="both"/>
        <w:rPr>
          <w:rFonts w:ascii="Century Schoolbook" w:cs="Century Schoolbook" w:eastAsia="Century Schoolbook" w:hAnsi="Century Schoolbook"/>
          <w:sz w:val="26"/>
          <w:szCs w:val="26"/>
        </w:rPr>
      </w:pPr>
      <w:r>
        <w:t>23.  Any entity or individual later joined to the Action as a Party who has not executed this Protective Order as of the time it is presented to the Court for signature may thereafter agree to be bound by this Protective Order by its counsel’s signing and dating a copy thereof and filing the same with the Court, and serving copies of such signed and dated Protective Order upon the other Parties.</w:t>
      </w:r>
    </w:p>
    <w:p w:rsidR="00000000" w:rsidDel="00000000" w:rsidP="00000000" w:rsidRDefault="00000000" w:rsidRPr="00000000" w14:paraId="00000065">
      <w:pPr>
        <w:widowControl w:val="1"/>
        <w:spacing w:line="480" w:lineRule="auto"/>
        <w:ind w:firstLine="720"/>
        <w:jc w:val="both"/>
        <w:rPr>
          <w:rFonts w:ascii="Century Schoolbook" w:cs="Century Schoolbook" w:eastAsia="Century Schoolbook" w:hAnsi="Century Schoolbook"/>
          <w:sz w:val="26"/>
          <w:szCs w:val="26"/>
        </w:rPr>
      </w:pPr>
      <w:r>
        <w:t xml:space="preserve">24.  The parties agree that prior to issuing third-party subpoenas for the records of the following: Plaintiff, current employees of Defendant, or any witnesses identified by Plaintiff or Defendant, parties shall confer in good faith to attempt to obtain the records sought without issuing subpoenas to non-party entities or individuals.  If the Parties are unable to reach an agreement, they will refer this dispute, pursuant to this protective order, to the Court for resolution.  Only if the Court orders a party to produce documents it is unable to obtain within a reasonable time frame, and that are necessary to the prosecution or defense of the action, then a third-party subpoena may be issued to obtain responsive documents.  Such third-party subpoena will be provided to the non-requesting party prior to being served on the third-party.  All such documents may be designated as confidential by request of the parties. In the process of obtaining third-party records, the parties and their counsel shall not engage in any contact greater than necessary to obtain the documents. </w:t>
      </w:r>
    </w:p>
    <w:p w:rsidR="00000000" w:rsidDel="00000000" w:rsidP="00000000" w:rsidRDefault="00000000" w:rsidRPr="00000000" w14:paraId="00000066">
      <w:pPr>
        <w:widowControl w:val="1"/>
        <w:spacing w:line="480" w:lineRule="auto"/>
        <w:ind w:firstLine="720"/>
        <w:jc w:val="both"/>
        <w:rPr>
          <w:rFonts w:ascii="Century Schoolbook" w:cs="Century Schoolbook" w:eastAsia="Century Schoolbook" w:hAnsi="Century Schoolbook"/>
          <w:sz w:val="26"/>
          <w:szCs w:val="26"/>
        </w:rPr>
      </w:pPr>
      <w:r>
        <w:t>25.</w:t>
        <w:tab/>
        <w:t>Any disputes about applicability of Confidentiality shall be determined under Missouri law.  The Court recognizes that “while there may be justification for sealing part or all of a file, to do so a court must identify specific and tangible threats to important values in order to override the importance of the public right of access.”   Brewer v. Cosgrove, 498 S.W.3d 837, 842 (Mo. App. E.D. 2016). Further, “case records are presumptively open to public inspection and copying absent a compelling justification for their closure. It is up to the objecting party to plead and prove convincing reasons to rebut the presumption of openness.”  Transit Cas. Co. ex rel. Pulitzer Publ'g Co. v. Transit Cas. Co. ex rel. Intervening Emps., 43 S.W.3d 293, 303–04 (Mo. banc 2001), as modified (Apr. 24, 2001) (emphasis added).</w:t>
      </w:r>
    </w:p>
    <w:p w:rsidR="00000000" w:rsidDel="00000000" w:rsidP="00000000" w:rsidRDefault="00000000" w:rsidRPr="00000000" w14:paraId="00000067">
      <w:pPr>
        <w:widowControl w:val="1"/>
        <w:shd w:fill="ffffff" w:val="clear"/>
        <w:rPr>
          <w:color w:val="000000"/>
          <w:sz w:val="26"/>
          <w:szCs w:val="26"/>
        </w:rPr>
      </w:pPr>
      <w:r/>
    </w:p>
    <w:p w:rsidR="00000000" w:rsidDel="00000000" w:rsidP="00000000" w:rsidRDefault="00000000" w:rsidRPr="00000000" w14:paraId="00000068">
      <w:pPr>
        <w:widowControl w:val="1"/>
        <w:ind w:firstLine="720"/>
        <w:jc w:val="both"/>
        <w:rPr>
          <w:rFonts w:ascii="Century Schoolbook" w:cs="Century Schoolbook" w:eastAsia="Century Schoolbook" w:hAnsi="Century Schoolbook"/>
          <w:b w:val="1"/>
          <w:bCs w:val="1"/>
          <w:sz w:val="26"/>
          <w:szCs w:val="26"/>
        </w:rPr>
      </w:pPr>
      <w:r>
        <w:t>IT IS SO ORDERED.</w:t>
      </w:r>
    </w:p>
    <w:p w:rsidR="00000000" w:rsidDel="00000000" w:rsidP="00000000" w:rsidRDefault="00000000" w:rsidRPr="00000000" w14:paraId="00000069">
      <w:pPr>
        <w:widowControl w:val="1"/>
        <w:jc w:val="both"/>
        <w:rPr>
          <w:rFonts w:ascii="Century Schoolbook" w:cs="Century Schoolbook" w:eastAsia="Century Schoolbook" w:hAnsi="Century Schoolbook"/>
          <w:sz w:val="26"/>
          <w:szCs w:val="26"/>
        </w:rPr>
      </w:pPr>
      <w:r/>
    </w:p>
    <w:p w:rsidR="00000000" w:rsidDel="00000000" w:rsidP="00000000" w:rsidRDefault="00000000" w:rsidRPr="00000000" w14:paraId="0000006A">
      <w:pPr>
        <w:widowControl w:val="1"/>
        <w:jc w:val="both"/>
        <w:rPr>
          <w:rFonts w:ascii="Century Schoolbook" w:cs="Century Schoolbook" w:eastAsia="Century Schoolbook" w:hAnsi="Century Schoolbook"/>
          <w:sz w:val="26"/>
          <w:szCs w:val="26"/>
        </w:rPr>
      </w:pPr>
      <w:r/>
    </w:p>
    <w:p w:rsidR="00000000" w:rsidDel="00000000" w:rsidP="00000000" w:rsidRDefault="00000000" w:rsidRPr="00000000" w14:paraId="0000006B">
      <w:pPr>
        <w:widowControl w:val="1"/>
        <w:jc w:val="both"/>
        <w:rPr>
          <w:rFonts w:ascii="Century Schoolbook" w:cs="Century Schoolbook" w:eastAsia="Century Schoolbook" w:hAnsi="Century Schoolbook"/>
          <w:sz w:val="26"/>
          <w:szCs w:val="26"/>
        </w:rPr>
      </w:pPr>
      <w:r/>
    </w:p>
    <w:p w:rsidR="00000000" w:rsidDel="00000000" w:rsidP="00000000" w:rsidRDefault="00000000" w:rsidRPr="00000000" w14:paraId="0000006C">
      <w:pPr>
        <w:widowControl w:val="1"/>
        <w:jc w:val="both"/>
        <w:rPr>
          <w:rFonts w:ascii="Century Schoolbook" w:cs="Century Schoolbook" w:eastAsia="Century Schoolbook" w:hAnsi="Century Schoolbook"/>
          <w:sz w:val="26"/>
          <w:szCs w:val="26"/>
        </w:rPr>
      </w:pPr>
      <w:r>
        <w:t>Dated:</w:t>
      </w:r>
    </w:p>
    <w:p w:rsidR="00000000" w:rsidDel="00000000" w:rsidP="00000000" w:rsidRDefault="00000000" w:rsidRPr="00000000" w14:paraId="0000006D">
      <w:pPr>
        <w:widowControl w:val="1"/>
        <w:jc w:val="both"/>
        <w:rPr>
          <w:rFonts w:ascii="Century Schoolbook" w:cs="Century Schoolbook" w:eastAsia="Century Schoolbook" w:hAnsi="Century Schoolbook"/>
          <w:sz w:val="26"/>
          <w:szCs w:val="26"/>
        </w:rPr>
      </w:pPr>
      <w:r/>
    </w:p>
    <w:p w:rsidR="00000000" w:rsidDel="00000000" w:rsidP="00000000" w:rsidRDefault="00000000" w:rsidRPr="00000000" w14:paraId="0000006E">
      <w:pPr>
        <w:widowControl w:val="1"/>
        <w:tabs>
          <w:tab w:val="right" w:leader="none" w:pos="9270"/>
        </w:tabs>
        <w:spacing w:line="276" w:lineRule="auto"/>
        <w:ind w:left="5040" w:firstLine="0"/>
        <w:jc w:val="both"/>
        <w:rPr>
          <w:rFonts w:ascii="Century Schoolbook" w:cs="Century Schoolbook" w:eastAsia="Century Schoolbook" w:hAnsi="Century Schoolbook"/>
          <w:sz w:val="26"/>
          <w:szCs w:val="26"/>
        </w:rPr>
      </w:pPr>
      <w:r>
        <w:t>_________________________________</w:t>
      </w:r>
    </w:p>
    <w:p w:rsidR="00000000" w:rsidDel="00000000" w:rsidP="00000000" w:rsidRDefault="00000000" w:rsidRPr="00000000" w14:paraId="0000006F">
      <w:pPr>
        <w:widowControl w:val="1"/>
        <w:tabs>
          <w:tab w:val="right" w:leader="none" w:pos="9270"/>
        </w:tabs>
        <w:ind w:left="5040" w:firstLine="0"/>
        <w:jc w:val="both"/>
        <w:rPr>
          <w:highlight w:val="yellow"/>
        </w:rPr>
      </w:pPr>
      <w:r>
        <w:t>{{judgeName}}</w:t>
      </w:r>
    </w:p>
    <w:p w:rsidR="00000000" w:rsidDel="00000000" w:rsidP="00000000" w:rsidRDefault="00000000" w:rsidRPr="00000000" w14:paraId="00000070">
      <w:pPr>
        <w:widowControl w:val="1"/>
        <w:tabs>
          <w:tab w:val="right" w:leader="none" w:pos="9270"/>
        </w:tabs>
        <w:jc w:val="both"/>
        <w:rPr/>
      </w:pPr>
      <w:r/>
    </w:p>
    <w:sectPr>
      <w:footerReference r:id="rId7" w:type="defaul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entury Schoolbook" w:cs="Century Schoolbook" w:eastAsia="Century Schoolbook" w:hAnsi="Century Schoolbook"/>
        <w:i w:val="0"/>
        <w:iCs w:val="0"/>
        <w:smallCaps w:val="0"/>
        <w:strike w:val="0"/>
        <w:color w:val="000000"/>
        <w:sz w:val="26"/>
        <w:szCs w:val="26"/>
        <w:u w:val="none"/>
        <w:shd w:fill="auto" w:val="clear"/>
        <w:vertAlign w:val="baseline"/>
      </w:rPr>
    </w:pPr>
    <w:r w:rsidDel="00000000" w:rsidR="00000000" w:rsidRPr="00000000">
      <w:rPr>
        <w:rFonts w:ascii="Century Schoolbook" w:cs="Century Schoolbook" w:eastAsia="Century Schoolbook" w:hAnsi="Century Schoolbook"/>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FootnoteReference">
    <w:name w:val="footnote reference"/>
    <w:uiPriority w:val="99"/>
  </w:style>
  <w:style w:type="character" w:styleId="Hyperlink">
    <w:name w:val="Hyperlink"/>
    <w:basedOn w:val="DefaultParagraphFont"/>
    <w:uiPriority w:val="99"/>
    <w:unhideWhenUsed w:val="1"/>
    <w:rsid w:val="00EC4ECA"/>
    <w:rPr>
      <w:color w:val="0000ff" w:themeColor="hyperlink"/>
      <w:u w:val="single"/>
    </w:rPr>
  </w:style>
  <w:style w:type="paragraph" w:styleId="Header">
    <w:name w:val="header"/>
    <w:basedOn w:val="Normal"/>
    <w:link w:val="HeaderChar"/>
    <w:uiPriority w:val="99"/>
    <w:unhideWhenUsed w:val="1"/>
    <w:rsid w:val="005F5330"/>
    <w:pPr>
      <w:tabs>
        <w:tab w:val="center" w:pos="4680"/>
        <w:tab w:val="right" w:pos="9360"/>
      </w:tabs>
    </w:pPr>
  </w:style>
  <w:style w:type="character" w:styleId="HeaderChar" w:customStyle="1">
    <w:name w:val="Header Char"/>
    <w:basedOn w:val="DefaultParagraphFont"/>
    <w:link w:val="Header"/>
    <w:uiPriority w:val="99"/>
    <w:rsid w:val="005F5330"/>
    <w:rPr>
      <w:rFonts w:ascii="Times New Roman" w:cs="Times New Roman" w:hAnsi="Times New Roman"/>
      <w:sz w:val="24"/>
      <w:szCs w:val="24"/>
    </w:rPr>
  </w:style>
  <w:style w:type="paragraph" w:styleId="Footer">
    <w:name w:val="footer"/>
    <w:basedOn w:val="Normal"/>
    <w:link w:val="FooterChar"/>
    <w:uiPriority w:val="99"/>
    <w:unhideWhenUsed w:val="1"/>
    <w:rsid w:val="005F5330"/>
    <w:pPr>
      <w:tabs>
        <w:tab w:val="center" w:pos="4680"/>
        <w:tab w:val="right" w:pos="9360"/>
      </w:tabs>
    </w:pPr>
  </w:style>
  <w:style w:type="character" w:styleId="FooterChar" w:customStyle="1">
    <w:name w:val="Footer Char"/>
    <w:basedOn w:val="DefaultParagraphFont"/>
    <w:link w:val="Footer"/>
    <w:uiPriority w:val="99"/>
    <w:rsid w:val="005F5330"/>
    <w:rPr>
      <w:rFonts w:ascii="Times New Roman" w:cs="Times New Roman" w:hAnsi="Times New Roman"/>
      <w:sz w:val="24"/>
      <w:szCs w:val="24"/>
    </w:rPr>
  </w:style>
  <w:style w:type="paragraph" w:styleId="BalloonText">
    <w:name w:val="Balloon Text"/>
    <w:basedOn w:val="Normal"/>
    <w:link w:val="BalloonTextChar"/>
    <w:uiPriority w:val="99"/>
    <w:semiHidden w:val="1"/>
    <w:unhideWhenUsed w:val="1"/>
    <w:rsid w:val="00997905"/>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97905"/>
    <w:rPr>
      <w:rFonts w:ascii="Segoe UI" w:cs="Segoe UI" w:hAnsi="Segoe UI"/>
      <w:sz w:val="18"/>
      <w:szCs w:val="18"/>
    </w:rPr>
  </w:style>
  <w:style w:type="character" w:styleId="FollowedHyperlink">
    <w:name w:val="FollowedHyperlink"/>
    <w:basedOn w:val="DefaultParagraphFont"/>
    <w:uiPriority w:val="99"/>
    <w:semiHidden w:val="1"/>
    <w:unhideWhenUsed w:val="1"/>
    <w:rsid w:val="00DE54E1"/>
    <w:rPr>
      <w:color w:val="800080" w:themeColor="followedHyperlink"/>
      <w:u w:val="single"/>
    </w:rPr>
  </w:style>
  <w:style w:type="table" w:styleId="TableGrid">
    <w:name w:val="Table Grid"/>
    <w:basedOn w:val="TableNormal"/>
    <w:uiPriority w:val="59"/>
    <w:rsid w:val="00B037D5"/>
    <w:pPr>
      <w:spacing w:after="0" w:line="240" w:lineRule="auto"/>
    </w:pPr>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leadingSignature" w:customStyle="1">
    <w:name w:val="Pleading Signature"/>
    <w:basedOn w:val="Normal"/>
    <w:rsid w:val="004F6477"/>
    <w:pPr>
      <w:keepNext w:val="1"/>
      <w:keepLines w:val="1"/>
      <w:autoSpaceDE w:val="1"/>
      <w:autoSpaceDN w:val="1"/>
      <w:adjustRightInd w:val="1"/>
      <w:ind w:left="108" w:right="108"/>
    </w:pPr>
    <w:rPr>
      <w:rFonts w:eastAsia="Times New Roman"/>
      <w:szCs w:val="20"/>
    </w:rPr>
  </w:style>
  <w:style w:type="character" w:styleId="zzmpTrailerItem" w:customStyle="1">
    <w:name w:val="zzmpTrailerItem"/>
    <w:basedOn w:val="DefaultParagraphFont"/>
    <w:rsid w:val="00A326CD"/>
    <w:rPr>
      <w:rFonts w:ascii="Times New Roman" w:cs="Times New Roman" w:hAnsi="Times New Roman"/>
      <w:dstrike w:val="0"/>
      <w:noProof w:val="1"/>
      <w:color w:val="auto"/>
      <w:spacing w:val="0"/>
      <w:position w:val="0"/>
      <w:sz w:val="16"/>
      <w:szCs w:val="16"/>
      <w:u w:val="none"/>
      <w:effect w:val="none"/>
      <w:vertAlign w:val="baseline"/>
    </w:rPr>
  </w:style>
  <w:style w:type="paragraph" w:styleId="ListParagraph">
    <w:name w:val="List Paragraph"/>
    <w:basedOn w:val="Normal"/>
    <w:uiPriority w:val="34"/>
    <w:qFormat w:val="1"/>
    <w:rsid w:val="005B240D"/>
    <w:pPr>
      <w:ind w:left="720"/>
      <w:contextualSpacing w:val="1"/>
    </w:pPr>
  </w:style>
  <w:style w:type="paragraph" w:styleId="Technical2" w:customStyle="1">
    <w:name w:val="Technical[2]"/>
    <w:uiPriority w:val="99"/>
    <w:rsid w:val="00ED157F"/>
    <w:pPr>
      <w:widowControl w:val="0"/>
      <w:autoSpaceDE w:val="0"/>
      <w:autoSpaceDN w:val="0"/>
      <w:adjustRightInd w:val="0"/>
      <w:spacing w:after="0" w:line="240" w:lineRule="auto"/>
      <w:jc w:val="both"/>
    </w:pPr>
    <w:rPr>
      <w:rFonts w:ascii="Courier 10cpi" w:hAnsi="Courier 10cpi"/>
      <w:b w:val="1"/>
      <w:bCs w:val="1"/>
      <w:sz w:val="24"/>
      <w:szCs w:val="24"/>
      <w:u w:val="single"/>
    </w:rPr>
  </w:style>
  <w:style w:type="paragraph" w:styleId="FootnoteText">
    <w:name w:val="footnote text"/>
    <w:basedOn w:val="Normal"/>
    <w:link w:val="FootnoteTextChar"/>
    <w:uiPriority w:val="99"/>
    <w:semiHidden w:val="1"/>
    <w:unhideWhenUsed w:val="1"/>
    <w:rsid w:val="0046514E"/>
    <w:rPr>
      <w:sz w:val="20"/>
      <w:szCs w:val="20"/>
    </w:rPr>
  </w:style>
  <w:style w:type="character" w:styleId="FootnoteTextChar" w:customStyle="1">
    <w:name w:val="Footnote Text Char"/>
    <w:basedOn w:val="DefaultParagraphFont"/>
    <w:link w:val="FootnoteText"/>
    <w:uiPriority w:val="99"/>
    <w:semiHidden w:val="1"/>
    <w:rsid w:val="0046514E"/>
    <w:rPr>
      <w:rFonts w:ascii="Times New Roman" w:cs="Times New Roman" w:hAnsi="Times New Roman"/>
      <w:sz w:val="20"/>
      <w:szCs w:val="20"/>
    </w:rPr>
  </w:style>
  <w:style w:type="paragraph" w:styleId="NormalWeb">
    <w:name w:val="Normal (Web)"/>
    <w:basedOn w:val="Normal"/>
    <w:uiPriority w:val="99"/>
    <w:semiHidden w:val="1"/>
    <w:unhideWhenUsed w:val="1"/>
    <w:rsid w:val="00ED1E56"/>
    <w:pPr>
      <w:widowControl w:val="1"/>
      <w:autoSpaceDE w:val="1"/>
      <w:autoSpaceDN w:val="1"/>
      <w:adjustRightInd w:val="1"/>
      <w:spacing w:after="100" w:afterAutospacing="1" w:before="100" w:beforeAutospacing="1"/>
    </w:pPr>
    <w:rPr>
      <w:rFonts w:eastAsia="Times New Roman"/>
    </w:rPr>
  </w:style>
  <w:style w:type="character" w:styleId="apple-tab-span" w:customStyle="1">
    <w:name w:val="apple-tab-span"/>
    <w:basedOn w:val="DefaultParagraphFont"/>
    <w:rsid w:val="00ED1E56"/>
  </w:style>
  <w:style w:type="character" w:styleId="Emphasis">
    <w:name w:val="Emphasis"/>
    <w:basedOn w:val="DefaultParagraphFont"/>
    <w:uiPriority w:val="20"/>
    <w:qFormat w:val="1"/>
    <w:rsid w:val="00372598"/>
    <w:rPr>
      <w:i w:val="1"/>
      <w:iCs w:val="1"/>
    </w:rPr>
  </w:style>
  <w:style w:type="character" w:styleId="costarpage" w:customStyle="1">
    <w:name w:val="co_starpage"/>
    <w:basedOn w:val="DefaultParagraphFont"/>
    <w:rsid w:val="00372598"/>
  </w:style>
  <w:style w:type="character" w:styleId="copinpointicon" w:customStyle="1">
    <w:name w:val="co_pinpointicon"/>
    <w:basedOn w:val="DefaultParagraphFont"/>
    <w:rsid w:val="00372598"/>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0aL840ugv4Vmh2oNd4dTIYX5pw==">CgMxLjA4AHIhMVF1b0xpOEp4U3ZpanYwR045dVVPOUtvLW9meHpiTlFj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2022-06-24T01:30:00Z</dcterms:created>
  <dc:creator>Stephanie Lake</dc:creator>
</cp:coreProperties>
</file>