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A5F"/>
          <w:sz w:val="48"/>
        </w:rPr>
        <w:t>Informe de Reconocimiento y Migración ETL</w:t>
      </w:r>
    </w:p>
    <w:p>
      <w:pPr>
        <w:jc w:val="center"/>
      </w:pPr>
      <w:r>
        <w:rPr>
          <w:color w:val="4F81BD"/>
          <w:sz w:val="32"/>
        </w:rPr>
        <w:t>Grupo 1 y Grupo 6 → Grupo 3</w:t>
      </w:r>
    </w:p>
    <w:p/>
    <w:p>
      <w:pPr>
        <w:jc w:val="center"/>
      </w:pPr>
      <w:r>
        <w:rPr>
          <w:sz w:val="24"/>
        </w:rPr>
        <w:t>Materia: Base de Datos</w:t>
        <w:br/>
      </w:r>
      <w:r>
        <w:rPr>
          <w:sz w:val="24"/>
        </w:rPr>
        <w:t>Universidad Privada Domingo Savio</w:t>
        <w:br/>
      </w:r>
      <w:r>
        <w:rPr>
          <w:sz w:val="24"/>
        </w:rPr>
        <w:t>Febrero 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Análisis Comparativo</w:t>
      </w:r>
    </w:p>
    <w:p>
      <w:r>
        <w:t>Se comparan las bases de datos de los Grupos 1 y 6 con la del Grupo 3, identificando diferencias estructurales, volumétricas y de calidad para la migración ETL.</w:t>
      </w:r>
    </w:p>
    <w:p>
      <w:pPr>
        <w:pStyle w:val="Heading2"/>
      </w:pPr>
      <w:r>
        <w:rPr>
          <w:color w:val="1F3A5F"/>
        </w:rPr>
        <w:t>1.1 Esquema del Grupo 3 (Destino)</w:t>
      </w:r>
    </w:p>
    <w:p>
      <w:r>
        <w:t>Base de datos PostgreSQL 17 con 8 tablas normalizadas (3FN).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Tabla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Registros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ESPECIALIDAD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TIPO_DIAGNOSTICO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ZONA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HORARIO_MEDICO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2,500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CITA_MEDICA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DIAGNOSTICO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RECETA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7,440</w:t>
            </w:r>
          </w:p>
        </w:tc>
      </w:tr>
    </w:tbl>
    <w:p>
      <w:pPr>
        <w:pStyle w:val="Heading2"/>
      </w:pPr>
      <w:r>
        <w:rPr>
          <w:color w:val="1F3A5F"/>
        </w:rPr>
        <w:t>1.2 Esquema del G3 + G1 + G6 (Fuente)</w:t>
      </w:r>
    </w:p>
    <w:p>
      <w:r>
        <w:t>Grupo 1: PostgreSQL en Supabase. 4 tablas, 218,123 registros. Sin normalización de catálogos.</w:t>
      </w:r>
    </w:p>
    <w:p>
      <w:r>
        <w:t>Grupo 6: SQLite (hospital.db). 9 tablas, 959,866 registros. Incluye Hist. Clínica, Recetas.</w:t>
      </w:r>
    </w:p>
    <w:p>
      <w:pPr>
        <w:pStyle w:val="Heading2"/>
      </w:pPr>
      <w:r>
        <w:rPr>
          <w:color w:val="1F3A5F"/>
        </w:rPr>
        <w:t>1.3 Diferencias Identificadas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Grupo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Grupo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Grupo 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 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 (Supabase)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Tablas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Registros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218,123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959,866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Normalización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Alta (3FN)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 / Documento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Dirección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 (pacientes)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Zonas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 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Recetas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CIE-10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</w:tr>
    </w:tbl>
    <w:p>
      <w:pPr>
        <w:pStyle w:val="Heading2"/>
      </w:pPr>
      <w:r>
        <w:rPr>
          <w:color w:val="1F3A5F"/>
        </w:rPr>
        <w:t>1.4 Resultado de la Carga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Tabla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Grupo 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+ Grupo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+ Grupo 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PERSONA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+100,000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+303,000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408,000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CITA_MEDICA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+50,000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+200,000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270,000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DIAGNOSTICO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+68,123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+85,390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168,513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RECETA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7,440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+230,696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238,136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47,440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+218,123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+819,086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1,084,649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2. Información a Transformar</w:t>
      </w:r>
    </w:p>
    <w:p>
      <w:pPr>
        <w:pStyle w:val="Heading2"/>
      </w:pPr>
      <w:r>
        <w:rPr>
          <w:color w:val="1F3A5F"/>
        </w:rPr>
        <w:t>2.1 Transformaciones Grupo 1</w:t>
      </w:r>
    </w:p>
    <w:p>
      <w:r>
        <w:t>IDs offset +100,000 (pacientes) y +200,000 (personal). 8 especialidades mapeadas directamente. 15 códigos CIE-10 mapeados a tipos diagnósticos. Campos faltantes (CI, dirección, teléfono, zona) marcados con identificadores de origen.</w:t>
      </w:r>
    </w:p>
    <w:p>
      <w:pPr>
        <w:pStyle w:val="Heading2"/>
      </w:pPr>
      <w:r>
        <w:rPr>
          <w:color w:val="1F3A5F"/>
        </w:rPr>
        <w:t>2.2 Transformaciones Grupo 6</w:t>
      </w:r>
    </w:p>
    <w:p>
      <w:r>
        <w:t>IDs offset +300,000 (pacientes/citas/diag/recetas) y +600,000 (personal). 24 especialidades mapeadas a 15 (13 directas + 11 aproximadas). Nombres concatenados (nombres + apellidos). Recetas detalladas fusionadas.</w:t>
      </w:r>
    </w:p>
    <w:p>
      <w:pPr>
        <w:pStyle w:val="Heading2"/>
      </w:pPr>
      <w:r>
        <w:rPr>
          <w:color w:val="1F3A5F"/>
        </w:rPr>
        <w:t>2.3 Resultado Consolidado</w:t>
      </w:r>
    </w:p>
    <w:p>
      <w:r>
        <w:t>Base de datos final: 1,084,649 registros totales. 408,000 personas, 270,000 citas, 168,513 diagnósticos, 238,136 recetas. Integridad referencial verificada: 0 errores.</w:t>
      </w:r>
    </w:p>
    <w:p>
      <w:r>
        <w:br w:type="page"/>
      </w:r>
    </w:p>
    <w:p>
      <w:pPr>
        <w:pStyle w:val="Heading1"/>
      </w:pPr>
      <w:r>
        <w:rPr>
          <w:color w:val="1F3A5F"/>
        </w:rPr>
        <w:t>3. Gráficos Estadísticos: Antes y Después</w:t>
      </w:r>
    </w:p>
    <w:p>
      <w:r>
        <w:t>Comparación de datos originales (Grupo 3) vs consolidados (G3 + G1 + G6).</w:t>
      </w:r>
    </w:p>
    <w:p>
      <w:pPr>
        <w:pStyle w:val="Heading2"/>
      </w:pPr>
      <w:r>
        <w:rPr>
          <w:color w:val="1F3A5F"/>
        </w:rPr>
        <w:t>3.1 Citas por Especialidad</w:t>
      </w:r>
    </w:p>
    <w:p>
      <w:pPr>
        <w:pStyle w:val="Heading3"/>
      </w:pPr>
      <w:r>
        <w:rPr>
          <w:color w:val="1F3A5F"/>
        </w:rPr>
        <w:t>Antes (Solo Grupo 3 — 20,000 citas)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esp_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1F3A5F"/>
        </w:rPr>
        <w:t>Después (G3 + G1 + G6 — 270,000 citas)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esp_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Medicina General lidera con 71,813 citas (35.3x más que el original). El volumen total pasa de 20,000 a 270,000 citas (incremento de 13.5x). Las especialidades exclusivas del G3 (Gastroenterología, Neumología) mantienen sus valores.</w:t>
      </w:r>
    </w:p>
    <w:p>
      <w:pPr>
        <w:pStyle w:val="Heading2"/>
      </w:pPr>
      <w:r>
        <w:rPr>
          <w:color w:val="1F3A5F"/>
        </w:rPr>
        <w:t>3.2 Citas por Mes</w:t>
      </w:r>
    </w:p>
    <w:p>
      <w:pPr>
        <w:pStyle w:val="Heading3"/>
      </w:pPr>
      <w:r>
        <w:rPr>
          <w:color w:val="1F3A5F"/>
        </w:rPr>
        <w:t>Antes (Solo Grupo 3 — 20,000 citas)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68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mes_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1F3A5F"/>
        </w:rPr>
        <w:t>Después (G3 + G1 + G6 — 270,000 citas)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68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mes_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 distribución mensual se uniformiza (~22,000/mes). El pico invernal del G3 (35%) se diluye con los datos uniformes de G1 y G6. Variación final: solo 1.1x entre máximo y mínimo.</w:t>
      </w:r>
    </w:p>
    <w:p>
      <w:pPr>
        <w:pStyle w:val="Heading2"/>
      </w:pPr>
      <w:r>
        <w:rPr>
          <w:color w:val="1F3A5F"/>
        </w:rPr>
        <w:t>3.3 Diagnósticos por Tipo</w:t>
      </w:r>
    </w:p>
    <w:p>
      <w:pPr>
        <w:pStyle w:val="Heading3"/>
      </w:pPr>
      <w:r>
        <w:rPr>
          <w:color w:val="1F3A5F"/>
        </w:rPr>
        <w:t>Antes (Solo Grupo 3 — 15,000 diagnósticos)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diag_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1F3A5F"/>
        </w:rPr>
        <w:t>Después (G3 + G1 + G6 — 163,275 diagnósticos)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diag_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Definitivo (43,780) y Presuntivo (43,721) del G6 dominan. Clínico (33,940) crece por G1. Aparecen categorías nuevas significativas: Ambulatorio (8,954) y Endoscópico (4,628).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