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 16: Nguyên nhân dẫn đến tử vong trên thế giới (2000-2020)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c1e21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Tại sao chúng ta cần biết lý do mọi người chết? </w:t>
      </w:r>
      <w:r w:rsidDel="00000000" w:rsidR="00000000" w:rsidRPr="00000000">
        <w:rPr>
          <w:color w:val="1c1e21"/>
          <w:sz w:val="23"/>
          <w:szCs w:val="23"/>
          <w:rtl w:val="0"/>
        </w:rPr>
        <w:t xml:space="preserve">Biết tại sao mọi người chết để cải thiện cách mọi người sống. Đo lường số người chết mỗi năm giúp đánh giá hiệu quả của hệ thống y tế của chúng ta và hướng các nguồn lực đến nơi họ cần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Nguồn lấy dữ liệu: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MDB (who.int)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Số cột: 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Năm: 21 năm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Khu vực: 6 khu vực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Quốc gia: 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Loại nguyên nhân: 4 loại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Nguyên nhân: 32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Nhóm tuổi: 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Giới tính: 3(nam, nữ, không biết)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người tử vong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Số dòng: 21 x ? x 32 x 8 x 3 =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form.who.int/mortality/themes/theme-details/M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