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KHÁCH HÀNG (RFM &amp; K-MEANS)</w:t>
      </w:r>
    </w:p>
    <w:p>
      <w:r>
        <w:t>Báo cáo kết quả phân cụm khách hàng dựa trên mô hình RFM.</w:t>
        <w:br/>
      </w:r>
    </w:p>
    <w:p>
      <w:pPr>
        <w:pStyle w:val="Heading1"/>
      </w:pPr>
      <w:r>
        <w:t>1. Phân tích &amp; So sánh các thuật toán phân cụm</w:t>
      </w:r>
    </w:p>
    <w:p>
      <w:r>
        <w:t>Bảng so sánh chất lượng phân cụm giữa các thuật toán: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Thuật toán</w:t>
            </w:r>
          </w:p>
        </w:tc>
        <w:tc>
          <w:tcPr>
            <w:tcW w:type="dxa" w:w="1234"/>
          </w:tcPr>
          <w:p>
            <w:r>
              <w:rPr>
                <w:b/>
              </w:rPr>
              <w:t>Số cụm</w:t>
            </w:r>
          </w:p>
        </w:tc>
        <w:tc>
          <w:tcPr>
            <w:tcW w:type="dxa" w:w="1234"/>
          </w:tcPr>
          <w:p>
            <w:r>
              <w:rPr>
                <w:b/>
              </w:rPr>
              <w:t>Silhouette</w:t>
            </w:r>
          </w:p>
        </w:tc>
        <w:tc>
          <w:tcPr>
            <w:tcW w:type="dxa" w:w="1234"/>
          </w:tcPr>
          <w:p>
            <w:r>
              <w:rPr>
                <w:b/>
              </w:rPr>
              <w:t>Davies-Bouldin</w:t>
            </w:r>
          </w:p>
        </w:tc>
        <w:tc>
          <w:tcPr>
            <w:tcW w:type="dxa" w:w="1234"/>
          </w:tcPr>
          <w:p>
            <w:r>
              <w:rPr>
                <w:b/>
              </w:rPr>
              <w:t>Calinski-Harabasz</w:t>
            </w:r>
          </w:p>
        </w:tc>
        <w:tc>
          <w:tcPr>
            <w:tcW w:type="dxa" w:w="1234"/>
          </w:tcPr>
          <w:p>
            <w:r>
              <w:rPr>
                <w:b/>
              </w:rPr>
              <w:t>Dunn</w:t>
            </w:r>
          </w:p>
        </w:tc>
        <w:tc>
          <w:tcPr>
            <w:tcW w:type="dxa" w:w="1234"/>
          </w:tcPr>
          <w:p>
            <w:r>
              <w:rPr>
                <w:b/>
              </w:rPr>
              <w:t>Nhận xét</w:t>
            </w:r>
          </w:p>
        </w:tc>
      </w:tr>
      <w:tr>
        <w:tc>
          <w:tcPr>
            <w:tcW w:type="dxa" w:w="1234"/>
          </w:tcPr>
          <w:p>
            <w:r>
              <w:t>K-Means</w:t>
            </w:r>
          </w:p>
        </w:tc>
        <w:tc>
          <w:tcPr>
            <w:tcW w:type="dxa" w:w="1234"/>
          </w:tcPr>
          <w:p>
            <w:r>
              <w:t>3</w:t>
            </w:r>
          </w:p>
        </w:tc>
        <w:tc>
          <w:tcPr>
            <w:tcW w:type="dxa" w:w="1234"/>
          </w:tcPr>
          <w:p>
            <w:r>
              <w:t>0.394</w:t>
            </w:r>
          </w:p>
        </w:tc>
        <w:tc>
          <w:tcPr>
            <w:tcW w:type="dxa" w:w="1234"/>
          </w:tcPr>
          <w:p>
            <w:r>
              <w:t>1.046</w:t>
            </w:r>
          </w:p>
        </w:tc>
        <w:tc>
          <w:tcPr>
            <w:tcW w:type="dxa" w:w="1234"/>
          </w:tcPr>
          <w:p>
            <w:r>
              <w:t>44304.6</w:t>
            </w:r>
          </w:p>
        </w:tc>
        <w:tc>
          <w:tcPr>
            <w:tcW w:type="dxa" w:w="1234"/>
          </w:tcPr>
          <w:p>
            <w:r>
              <w:t>0.007</w:t>
            </w:r>
          </w:p>
        </w:tc>
        <w:tc>
          <w:tcPr>
            <w:tcW w:type="dxa" w:w="1234"/>
          </w:tcPr>
          <w:p>
            <w:r>
              <w:t>&lt;&lt; Đề xuất: cân bằng tốt nhất giữa các chỉ số</w:t>
            </w:r>
          </w:p>
        </w:tc>
      </w:tr>
      <w:tr>
        <w:tc>
          <w:tcPr>
            <w:tcW w:type="dxa" w:w="1234"/>
          </w:tcPr>
          <w:p>
            <w:r>
              <w:t>Spectral Clustering</w:t>
            </w:r>
          </w:p>
        </w:tc>
        <w:tc>
          <w:tcPr>
            <w:tcW w:type="dxa" w:w="1234"/>
          </w:tcPr>
          <w:p>
            <w:r>
              <w:t>3</w:t>
            </w:r>
          </w:p>
        </w:tc>
        <w:tc>
          <w:tcPr>
            <w:tcW w:type="dxa" w:w="1234"/>
          </w:tcPr>
          <w:p>
            <w:r>
              <w:t>0.304</w:t>
            </w:r>
          </w:p>
        </w:tc>
        <w:tc>
          <w:tcPr>
            <w:tcW w:type="dxa" w:w="1234"/>
          </w:tcPr>
          <w:p>
            <w:r>
              <w:t>1.441</w:t>
            </w:r>
          </w:p>
        </w:tc>
        <w:tc>
          <w:tcPr>
            <w:tcW w:type="dxa" w:w="1234"/>
          </w:tcPr>
          <w:p>
            <w:r>
              <w:t>1282.2</w:t>
            </w:r>
          </w:p>
        </w:tc>
        <w:tc>
          <w:tcPr>
            <w:tcW w:type="dxa" w:w="1234"/>
          </w:tcPr>
          <w:p>
            <w:r>
              <w:t>0.167</w:t>
            </w:r>
          </w:p>
        </w:tc>
        <w:tc>
          <w:tcPr>
            <w:tcW w:type="dxa" w:w="1234"/>
          </w:tcPr>
          <w:p>
            <w:r>
              <w:t>nan</w:t>
            </w:r>
          </w:p>
        </w:tc>
      </w:tr>
      <w:tr>
        <w:tc>
          <w:tcPr>
            <w:tcW w:type="dxa" w:w="1234"/>
          </w:tcPr>
          <w:p>
            <w:r>
              <w:t>Mean Shift</w:t>
            </w:r>
          </w:p>
        </w:tc>
        <w:tc>
          <w:tcPr>
            <w:tcW w:type="dxa" w:w="1234"/>
          </w:tcPr>
          <w:p>
            <w:r>
              <w:t>2</w:t>
            </w:r>
          </w:p>
        </w:tc>
        <w:tc>
          <w:tcPr>
            <w:tcW w:type="dxa" w:w="1234"/>
          </w:tcPr>
          <w:p>
            <w:r>
              <w:t>0.395</w:t>
            </w:r>
          </w:p>
        </w:tc>
        <w:tc>
          <w:tcPr>
            <w:tcW w:type="dxa" w:w="1234"/>
          </w:tcPr>
          <w:p>
            <w:r>
              <w:t>1.069</w:t>
            </w:r>
          </w:p>
        </w:tc>
        <w:tc>
          <w:tcPr>
            <w:tcW w:type="dxa" w:w="1234"/>
          </w:tcPr>
          <w:p>
            <w:r>
              <w:t>2046.0</w:t>
            </w:r>
          </w:p>
        </w:tc>
        <w:tc>
          <w:tcPr>
            <w:tcW w:type="dxa" w:w="1234"/>
          </w:tcPr>
          <w:p>
            <w:r>
              <w:t>0.011</w:t>
            </w:r>
          </w:p>
        </w:tc>
        <w:tc>
          <w:tcPr>
            <w:tcW w:type="dxa" w:w="1234"/>
          </w:tcPr>
          <w:p>
            <w:r>
              <w:t>nan</w:t>
            </w:r>
          </w:p>
        </w:tc>
      </w:tr>
      <w:tr>
        <w:tc>
          <w:tcPr>
            <w:tcW w:type="dxa" w:w="1234"/>
          </w:tcPr>
          <w:p>
            <w:r>
              <w:t>GMM</w:t>
            </w:r>
          </w:p>
        </w:tc>
        <w:tc>
          <w:tcPr>
            <w:tcW w:type="dxa" w:w="1234"/>
          </w:tcPr>
          <w:p>
            <w:r>
              <w:t>3</w:t>
            </w:r>
          </w:p>
        </w:tc>
        <w:tc>
          <w:tcPr>
            <w:tcW w:type="dxa" w:w="1234"/>
          </w:tcPr>
          <w:p>
            <w:r>
              <w:t>0.329</w:t>
            </w:r>
          </w:p>
        </w:tc>
        <w:tc>
          <w:tcPr>
            <w:tcW w:type="dxa" w:w="1234"/>
          </w:tcPr>
          <w:p>
            <w:r>
              <w:t>1.192</w:t>
            </w:r>
          </w:p>
        </w:tc>
        <w:tc>
          <w:tcPr>
            <w:tcW w:type="dxa" w:w="1234"/>
          </w:tcPr>
          <w:p>
            <w:r>
              <w:t>37746.9</w:t>
            </w:r>
          </w:p>
        </w:tc>
        <w:tc>
          <w:tcPr>
            <w:tcW w:type="dxa" w:w="1234"/>
          </w:tcPr>
          <w:p>
            <w:r>
              <w:t>0.002</w:t>
            </w:r>
          </w:p>
        </w:tc>
        <w:tc>
          <w:tcPr>
            <w:tcW w:type="dxa" w:w="1234"/>
          </w:tcPr>
          <w:p>
            <w:r>
              <w:t>nan</w:t>
            </w:r>
          </w:p>
        </w:tc>
      </w:tr>
      <w:tr>
        <w:tc>
          <w:tcPr>
            <w:tcW w:type="dxa" w:w="1234"/>
          </w:tcPr>
          <w:p>
            <w:r>
              <w:t>DBSCAN</w:t>
            </w:r>
          </w:p>
        </w:tc>
        <w:tc>
          <w:tcPr>
            <w:tcW w:type="dxa" w:w="1234"/>
          </w:tcPr>
          <w:p>
            <w:r>
              <w:t>6</w:t>
            </w:r>
          </w:p>
        </w:tc>
        <w:tc>
          <w:tcPr>
            <w:tcW w:type="dxa" w:w="1234"/>
          </w:tcPr>
          <w:p>
            <w:r>
              <w:t>0.277</w:t>
            </w:r>
          </w:p>
        </w:tc>
        <w:tc>
          <w:tcPr>
            <w:tcW w:type="dxa" w:w="1234"/>
          </w:tcPr>
          <w:p>
            <w:r>
              <w:t>2.162</w:t>
            </w:r>
          </w:p>
        </w:tc>
        <w:tc>
          <w:tcPr>
            <w:tcW w:type="dxa" w:w="1234"/>
          </w:tcPr>
          <w:p>
            <w:r>
              <w:t>13297.3</w:t>
            </w:r>
          </w:p>
        </w:tc>
        <w:tc>
          <w:tcPr>
            <w:tcW w:type="dxa" w:w="1234"/>
          </w:tcPr>
          <w:p>
            <w:r>
              <w:t>0.095</w:t>
            </w:r>
          </w:p>
        </w:tc>
        <w:tc>
          <w:tcPr>
            <w:tcW w:type="dxa" w:w="1234"/>
          </w:tcPr>
          <w:p>
            <w:r>
              <w:t>nan</w:t>
            </w:r>
          </w:p>
        </w:tc>
      </w:tr>
      <w:tr>
        <w:tc>
          <w:tcPr>
            <w:tcW w:type="dxa" w:w="1234"/>
          </w:tcPr>
          <w:p>
            <w:r>
              <w:t>FCM</w:t>
            </w:r>
          </w:p>
        </w:tc>
        <w:tc>
          <w:tcPr>
            <w:tcW w:type="dxa" w:w="1234"/>
          </w:tcPr>
          <w:p>
            <w:r>
              <w:t>3</w:t>
            </w:r>
          </w:p>
        </w:tc>
        <w:tc>
          <w:tcPr>
            <w:tcW w:type="dxa" w:w="1234"/>
          </w:tcPr>
          <w:p>
            <w:r>
              <w:t>0.293</w:t>
            </w:r>
          </w:p>
        </w:tc>
        <w:tc>
          <w:tcPr>
            <w:tcW w:type="dxa" w:w="1234"/>
          </w:tcPr>
          <w:p>
            <w:r>
              <w:t>1.165</w:t>
            </w:r>
          </w:p>
        </w:tc>
        <w:tc>
          <w:tcPr>
            <w:tcW w:type="dxa" w:w="1234"/>
          </w:tcPr>
          <w:p>
            <w:r>
              <w:t>41221.2</w:t>
            </w:r>
          </w:p>
        </w:tc>
        <w:tc>
          <w:tcPr>
            <w:tcW w:type="dxa" w:w="1234"/>
          </w:tcPr>
          <w:p>
            <w:r>
              <w:t>0.004</w:t>
            </w:r>
          </w:p>
        </w:tc>
        <w:tc>
          <w:tcPr>
            <w:tcW w:type="dxa" w:w="1234"/>
          </w:tcPr>
          <w:p>
            <w:r>
              <w:t>nan</w:t>
            </w:r>
          </w:p>
        </w:tc>
      </w:tr>
    </w:tbl>
    <w:p/>
    <w:p>
      <w:r>
        <w:drawing>
          <wp:inline xmlns:a="http://schemas.openxmlformats.org/drawingml/2006/main" xmlns:pic="http://schemas.openxmlformats.org/drawingml/2006/picture">
            <wp:extent cx="5486400" cy="1307429"/>
            <wp:docPr id="1" name="Picture 1"/>
            <wp:cNvGraphicFramePr>
              <a:graphicFrameLocks noChangeAspect="1"/>
            </wp:cNvGraphicFramePr>
            <a:graphic>
              <a:graphicData uri="http://schemas.openxmlformats.org/drawingml/2006/picture">
                <pic:pic>
                  <pic:nvPicPr>
                    <pic:cNvPr id="0" name="algorithm_comparison_metrics.png"/>
                    <pic:cNvPicPr/>
                  </pic:nvPicPr>
                  <pic:blipFill>
                    <a:blip r:embed="rId9"/>
                    <a:stretch>
                      <a:fillRect/>
                    </a:stretch>
                  </pic:blipFill>
                  <pic:spPr>
                    <a:xfrm>
                      <a:off x="0" y="0"/>
                      <a:ext cx="5486400" cy="1307429"/>
                    </a:xfrm>
                    <a:prstGeom prst="rect"/>
                  </pic:spPr>
                </pic:pic>
              </a:graphicData>
            </a:graphic>
          </wp:inline>
        </w:drawing>
      </w:r>
    </w:p>
    <w:p>
      <w:pPr>
        <w:jc w:val="center"/>
      </w:pPr>
      <w:r>
        <w:t>Biểu đồ so sánh chỉ số của các thuật toán phân cụm.</w:t>
      </w:r>
    </w:p>
    <w:p>
      <w:pPr>
        <w:pStyle w:val="Heading2"/>
      </w:pPr>
      <w:r>
        <w:t>Phân tích chi tiết kết quả so sánh:</w:t>
      </w:r>
    </w:p>
    <w:p>
      <w:pPr>
        <w:pStyle w:val="BodyText"/>
      </w:pPr>
      <w:r>
        <w:t>Dựa trên kết quả đo lường từ bảng và biểu đồ trên, ta có thể rút ra những đánh giá sau:</w:t>
      </w:r>
    </w:p>
    <w:p>
      <w:pPr>
        <w:pStyle w:val="ListBullet"/>
      </w:pPr>
      <w:r>
        <w:rPr>
          <w:b/>
        </w:rPr>
        <w:t xml:space="preserve">K-Means (Thuật toán được đề xuất): </w:t>
      </w:r>
      <w:r>
        <w:t>K-Means đạt được sự cân bằng xuất sắc nhất giữa các chỉ số. Điểm Silhouette (0.394) thuộc top cao nhất, cho thấy các cụm có độ gắn kết tốt. Chỉ số Davies-Bouldin (1.046) thấp chứng minh các cụm ít bị chồng chéo. Đặc biệt, chỉ số Calinski-Harabasz (44,304.6) cao vượt trội so với các thuật toán khác, khẳng định các cụm do K-Means phân tách cực kỳ rõ ràng và chặt chẽ.</w:t>
      </w:r>
    </w:p>
    <w:p>
      <w:pPr>
        <w:pStyle w:val="ListBullet"/>
      </w:pPr>
      <w:r>
        <w:rPr>
          <w:b/>
        </w:rPr>
        <w:t xml:space="preserve">Mean Shift: </w:t>
      </w:r>
      <w:r>
        <w:t>Đạt điểm Silhouette cao nhất (0.395) và Davies-Bouldin khá tốt, tuy nhiên thuật toán này chỉ phân chia dữ liệu thành 2 cụm. Việc chỉ có 2 phân khúc khách hàng là quá ít và không mang lại nhiều giá trị thực tiễn cho các chiến dịch Marketing chi tiết.</w:t>
      </w:r>
    </w:p>
    <w:p>
      <w:pPr>
        <w:pStyle w:val="ListBullet"/>
      </w:pPr>
      <w:r>
        <w:rPr>
          <w:b/>
        </w:rPr>
        <w:t xml:space="preserve">Gaussian Mixture Model (GMM) &amp; Fuzzy C-Means (FCM): </w:t>
      </w:r>
      <w:r>
        <w:t>Cả hai thuật toán này đều phân thành 3 cụm và có chỉ số phân tách Calinski-Harabasz tương đối cao (37,746 và 41,221). Tuy nhiên, độ gắn kết nội bộ cụm (Silhouette) lại kém hơn đáng kể so với K-Means (lần lượt là 0.329 và 0.293).</w:t>
      </w:r>
    </w:p>
    <w:p>
      <w:pPr>
        <w:pStyle w:val="ListBullet"/>
      </w:pPr>
      <w:r>
        <w:rPr>
          <w:b/>
        </w:rPr>
        <w:t xml:space="preserve">DBSCAN &amp; Spectral Clustering: </w:t>
      </w:r>
      <w:r>
        <w:t>Đây là hai thuật toán có hiệu suất kém nhất trên bộ dữ liệu này. DBSCAN phân thành quá nhiều cụm (6 cụm) với điểm Davies-Bouldin rất tệ (2.162), báo hiệu sự chồng chéo lớn. Spectral Clustering có chỉ số Calinski-Harabasz cực kỳ thấp (1,282.2), cho thấy thuật toán này hoàn toàn không phù hợp với không gian phân phối dữ liệu RFM hiện tại.</w:t>
      </w:r>
    </w:p>
    <w:p>
      <w:pPr>
        <w:pStyle w:val="BodyText"/>
      </w:pPr>
      <w:r>
        <w:rPr>
          <w:b/>
        </w:rPr>
        <w:t xml:space="preserve">=&gt; Kết luận: </w:t>
      </w:r>
      <w:r>
        <w:t>K-Means với 3 cụm là lựa chọn tối ưu nhất, vừa đảm bảo tính toán học (phân tách rõ ràng, gắn kết tốt), vừa phù hợp với logic diễn giải kinh doanh.</w:t>
      </w:r>
    </w:p>
    <w:p>
      <w:r>
        <w:br w:type="page"/>
      </w:r>
    </w:p>
    <w:p>
      <w:pPr>
        <w:pStyle w:val="Heading1"/>
      </w:pPr>
      <w:r>
        <w:t>2. Đặc điểm các phân khúc khách hàng (K-Means)</w:t>
      </w:r>
    </w:p>
    <w:p>
      <w:r>
        <w:drawing>
          <wp:inline xmlns:a="http://schemas.openxmlformats.org/drawingml/2006/main" xmlns:pic="http://schemas.openxmlformats.org/drawingml/2006/picture">
            <wp:extent cx="5486400" cy="1828800"/>
            <wp:docPr id="2" name="Picture 2"/>
            <wp:cNvGraphicFramePr>
              <a:graphicFrameLocks noChangeAspect="1"/>
            </wp:cNvGraphicFramePr>
            <a:graphic>
              <a:graphicData uri="http://schemas.openxmlformats.org/drawingml/2006/picture">
                <pic:pic>
                  <pic:nvPicPr>
                    <pic:cNvPr id="0" name="elbow_silhouette.png"/>
                    <pic:cNvPicPr/>
                  </pic:nvPicPr>
                  <pic:blipFill>
                    <a:blip r:embed="rId10"/>
                    <a:stretch>
                      <a:fillRect/>
                    </a:stretch>
                  </pic:blipFill>
                  <pic:spPr>
                    <a:xfrm>
                      <a:off x="0" y="0"/>
                      <a:ext cx="5486400" cy="1828800"/>
                    </a:xfrm>
                    <a:prstGeom prst="rect"/>
                  </pic:spPr>
                </pic:pic>
              </a:graphicData>
            </a:graphic>
          </wp:inline>
        </w:drawing>
      </w:r>
    </w:p>
    <w:p>
      <w:pPr>
        <w:jc w:val="center"/>
      </w:pPr>
      <w:r>
        <w:t>Phân tích Silhouette và Elbow để xác định số cụm tối ưu.</w:t>
      </w:r>
    </w:p>
    <w:p>
      <w:r>
        <w:t>Tổng quan về đặc điểm (Recency, Frequency, Monetary) của từng cụm: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Cluster</w:t>
            </w:r>
          </w:p>
        </w:tc>
        <w:tc>
          <w:tcPr>
            <w:tcW w:type="dxa" w:w="1234"/>
          </w:tcPr>
          <w:p>
            <w:r>
              <w:rPr>
                <w:b/>
              </w:rPr>
              <w:t>Recency_mean</w:t>
            </w:r>
          </w:p>
        </w:tc>
        <w:tc>
          <w:tcPr>
            <w:tcW w:type="dxa" w:w="1234"/>
          </w:tcPr>
          <w:p>
            <w:r>
              <w:rPr>
                <w:b/>
              </w:rPr>
              <w:t>Frequency_mean</w:t>
            </w:r>
          </w:p>
        </w:tc>
        <w:tc>
          <w:tcPr>
            <w:tcW w:type="dxa" w:w="1234"/>
          </w:tcPr>
          <w:p>
            <w:r>
              <w:rPr>
                <w:b/>
              </w:rPr>
              <w:t>Monetary_mean</w:t>
            </w:r>
          </w:p>
        </w:tc>
        <w:tc>
          <w:tcPr>
            <w:tcW w:type="dxa" w:w="1234"/>
          </w:tcPr>
          <w:p>
            <w:r>
              <w:rPr>
                <w:b/>
              </w:rPr>
              <w:t>SoLuong</w:t>
            </w:r>
          </w:p>
        </w:tc>
        <w:tc>
          <w:tcPr>
            <w:tcW w:type="dxa" w:w="1234"/>
          </w:tcPr>
          <w:p>
            <w:r>
              <w:rPr>
                <w:b/>
              </w:rPr>
              <w:t>TyLe(%)</w:t>
            </w:r>
          </w:p>
        </w:tc>
        <w:tc>
          <w:tcPr>
            <w:tcW w:type="dxa" w:w="1234"/>
          </w:tcPr>
          <w:p>
            <w:r>
              <w:rPr>
                <w:b/>
              </w:rPr>
              <w:t>Ten_cum</w:t>
            </w:r>
          </w:p>
        </w:tc>
      </w:tr>
      <w:tr>
        <w:tc>
          <w:tcPr>
            <w:tcW w:type="dxa" w:w="1234"/>
          </w:tcPr>
          <w:p>
            <w:r>
              <w:t>0</w:t>
            </w:r>
          </w:p>
        </w:tc>
        <w:tc>
          <w:tcPr>
            <w:tcW w:type="dxa" w:w="1234"/>
          </w:tcPr>
          <w:p>
            <w:r>
              <w:t>259.46</w:t>
            </w:r>
          </w:p>
        </w:tc>
        <w:tc>
          <w:tcPr>
            <w:tcW w:type="dxa" w:w="1234"/>
          </w:tcPr>
          <w:p>
            <w:r>
              <w:t>2.43</w:t>
            </w:r>
          </w:p>
        </w:tc>
        <w:tc>
          <w:tcPr>
            <w:tcW w:type="dxa" w:w="1234"/>
          </w:tcPr>
          <w:p>
            <w:r>
              <w:t>205.89</w:t>
            </w:r>
          </w:p>
        </w:tc>
        <w:tc>
          <w:tcPr>
            <w:tcW w:type="dxa" w:w="1234"/>
          </w:tcPr>
          <w:p>
            <w:r>
              <w:t>24830</w:t>
            </w:r>
          </w:p>
        </w:tc>
        <w:tc>
          <w:tcPr>
            <w:tcW w:type="dxa" w:w="1234"/>
          </w:tcPr>
          <w:p>
            <w:r>
              <w:t>32.8</w:t>
            </w:r>
          </w:p>
        </w:tc>
        <w:tc>
          <w:tcPr>
            <w:tcW w:type="dxa" w:w="1234"/>
          </w:tcPr>
          <w:p>
            <w:r>
              <w:t>Nhóm hạng 1</w:t>
            </w:r>
          </w:p>
        </w:tc>
      </w:tr>
      <w:tr>
        <w:tc>
          <w:tcPr>
            <w:tcW w:type="dxa" w:w="1234"/>
          </w:tcPr>
          <w:p>
            <w:r>
              <w:t>1</w:t>
            </w:r>
          </w:p>
        </w:tc>
        <w:tc>
          <w:tcPr>
            <w:tcW w:type="dxa" w:w="1234"/>
          </w:tcPr>
          <w:p>
            <w:r>
              <w:t>400.18</w:t>
            </w:r>
          </w:p>
        </w:tc>
        <w:tc>
          <w:tcPr>
            <w:tcW w:type="dxa" w:w="1234"/>
          </w:tcPr>
          <w:p>
            <w:r>
              <w:t>1.03</w:t>
            </w:r>
          </w:p>
        </w:tc>
        <w:tc>
          <w:tcPr>
            <w:tcW w:type="dxa" w:w="1234"/>
          </w:tcPr>
          <w:p>
            <w:r>
              <w:t>78.28</w:t>
            </w:r>
          </w:p>
        </w:tc>
        <w:tc>
          <w:tcPr>
            <w:tcW w:type="dxa" w:w="1234"/>
          </w:tcPr>
          <w:p>
            <w:r>
              <w:t>40878</w:t>
            </w:r>
          </w:p>
        </w:tc>
        <w:tc>
          <w:tcPr>
            <w:tcW w:type="dxa" w:w="1234"/>
          </w:tcPr>
          <w:p>
            <w:r>
              <w:t>53.9</w:t>
            </w:r>
          </w:p>
        </w:tc>
        <w:tc>
          <w:tcPr>
            <w:tcW w:type="dxa" w:w="1234"/>
          </w:tcPr>
          <w:p>
            <w:r>
              <w:t>Nhóm hạng 3</w:t>
            </w:r>
          </w:p>
        </w:tc>
      </w:tr>
      <w:tr>
        <w:tc>
          <w:tcPr>
            <w:tcW w:type="dxa" w:w="1234"/>
          </w:tcPr>
          <w:p>
            <w:r>
              <w:t>2</w:t>
            </w:r>
          </w:p>
        </w:tc>
        <w:tc>
          <w:tcPr>
            <w:tcW w:type="dxa" w:w="1234"/>
          </w:tcPr>
          <w:p>
            <w:r>
              <w:t>35.84</w:t>
            </w:r>
          </w:p>
        </w:tc>
        <w:tc>
          <w:tcPr>
            <w:tcW w:type="dxa" w:w="1234"/>
          </w:tcPr>
          <w:p>
            <w:r>
              <w:t>1.76</w:t>
            </w:r>
          </w:p>
        </w:tc>
        <w:tc>
          <w:tcPr>
            <w:tcW w:type="dxa" w:w="1234"/>
          </w:tcPr>
          <w:p>
            <w:r>
              <w:t>140.98</w:t>
            </w:r>
          </w:p>
        </w:tc>
        <w:tc>
          <w:tcPr>
            <w:tcW w:type="dxa" w:w="1234"/>
          </w:tcPr>
          <w:p>
            <w:r>
              <w:t>10091</w:t>
            </w:r>
          </w:p>
        </w:tc>
        <w:tc>
          <w:tcPr>
            <w:tcW w:type="dxa" w:w="1234"/>
          </w:tcPr>
          <w:p>
            <w:r>
              <w:t>13.3</w:t>
            </w:r>
          </w:p>
        </w:tc>
        <w:tc>
          <w:tcPr>
            <w:tcW w:type="dxa" w:w="1234"/>
          </w:tcPr>
          <w:p>
            <w:r>
              <w:t>Nhóm hạng 2</w:t>
            </w:r>
          </w:p>
        </w:tc>
      </w:tr>
    </w:tbl>
    <w:p/>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scatter_recency_monetary.png"/>
                    <pic:cNvPicPr/>
                  </pic:nvPicPr>
                  <pic:blipFill>
                    <a:blip r:embed="rId11"/>
                    <a:stretch>
                      <a:fillRect/>
                    </a:stretch>
                  </pic:blipFill>
                  <pic:spPr>
                    <a:xfrm>
                      <a:off x="0" y="0"/>
                      <a:ext cx="5486400" cy="3918857"/>
                    </a:xfrm>
                    <a:prstGeom prst="rect"/>
                  </pic:spPr>
                </pic:pic>
              </a:graphicData>
            </a:graphic>
          </wp:inline>
        </w:drawing>
      </w:r>
    </w:p>
    <w:p>
      <w:pPr>
        <w:jc w:val="center"/>
      </w:pPr>
      <w:r>
        <w:t>Phân bổ khách hàng (Recency vs Monetary).</w:t>
      </w:r>
    </w:p>
    <w:p>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bar_monetary_by_cluster.png"/>
                    <pic:cNvPicPr/>
                  </pic:nvPicPr>
                  <pic:blipFill>
                    <a:blip r:embed="rId12"/>
                    <a:stretch>
                      <a:fillRect/>
                    </a:stretch>
                  </pic:blipFill>
                  <pic:spPr>
                    <a:xfrm>
                      <a:off x="0" y="0"/>
                      <a:ext cx="5486400" cy="3135086"/>
                    </a:xfrm>
                    <a:prstGeom prst="rect"/>
                  </pic:spPr>
                </pic:pic>
              </a:graphicData>
            </a:graphic>
          </wp:inline>
        </w:drawing>
      </w:r>
    </w:p>
    <w:p>
      <w:pPr>
        <w:jc w:val="center"/>
      </w:pPr>
      <w:r>
        <w:t>So sánh giá trị trung bình (Monetary) giữa các cụm.</w:t>
      </w:r>
    </w:p>
    <w:p>
      <w:r>
        <w:br w:type="page"/>
      </w:r>
    </w:p>
    <w:p>
      <w:pPr>
        <w:pStyle w:val="Heading1"/>
      </w:pPr>
      <w:r>
        <w:t>3. Đề xuất Chiến Lược Marketing</w:t>
      </w:r>
    </w:p>
    <w:p>
      <w:pPr>
        <w:pStyle w:val="Heading2"/>
      </w:pPr>
      <w:r>
        <w:t>Nhóm hạng 1 → 💎 Loyal (KH Trung thành)</w:t>
      </w:r>
    </w:p>
    <w:p>
      <w:r>
        <w:t>Số lượng KH: 24830 (32.8%)</w:t>
      </w:r>
    </w:p>
    <w:p>
      <w:r>
        <w:t>R trung bình: 259 ngày | F trung bình: 2.4 lần | M trung bình: 206</w:t>
      </w:r>
    </w:p>
    <w:p>
      <w:r>
        <w:t>Chiến lược đề xuất:</w:t>
      </w:r>
    </w:p>
    <w:p>
      <w:pPr>
        <w:pStyle w:val="ListBullet"/>
      </w:pPr>
      <w:r>
        <w:t>Chương trình tích điểm/thẻ thành viên với phần thưởng hấp dẫn</w:t>
      </w:r>
    </w:p>
    <w:p>
      <w:pPr>
        <w:pStyle w:val="ListBullet"/>
      </w:pPr>
      <w:r>
        <w:t>Bán chéo (cross-sell) và bán nâng (upsell) dựa trên lịch sử mua</w:t>
      </w:r>
    </w:p>
    <w:p>
      <w:pPr>
        <w:pStyle w:val="ListBullet"/>
      </w:pPr>
      <w:r>
        <w:t>Ưu đãi theo mùa/dịp đặc biệt để duy trì tần suất</w:t>
      </w:r>
    </w:p>
    <w:p>
      <w:pPr>
        <w:pStyle w:val="ListBullet"/>
      </w:pPr>
      <w:r>
        <w:t>Email cá nhân hóa gợi ý sản phẩm phù hợp</w:t>
      </w:r>
    </w:p>
    <w:p>
      <w:pPr>
        <w:pStyle w:val="ListBullet"/>
      </w:pPr>
      <w:r>
        <w:t>Khảo sát ý kiến để tăng sự gắn kết và cảm giác được lắng nghe.</w:t>
      </w:r>
    </w:p>
    <w:p>
      <w:pPr>
        <w:pStyle w:val="Heading2"/>
      </w:pPr>
      <w:r>
        <w:t>Nhóm hạng 2 → 🌱 Potential (KH Tiềm năng)</w:t>
      </w:r>
    </w:p>
    <w:p>
      <w:r>
        <w:t>Số lượng KH: 10091 (13.3%)</w:t>
      </w:r>
    </w:p>
    <w:p>
      <w:r>
        <w:t>R trung bình: 36 ngày | F trung bình: 1.8 lần | M trung bình: 141</w:t>
      </w:r>
    </w:p>
    <w:p>
      <w:r>
        <w:t>Chiến lược đề xuất:</w:t>
      </w:r>
    </w:p>
    <w:p>
      <w:pPr>
        <w:pStyle w:val="ListBullet"/>
      </w:pPr>
      <w:r>
        <w:t>Quảng cáo cá nhân hóa &amp; remarketing qua email/mạng xã hội</w:t>
      </w:r>
    </w:p>
    <w:p>
      <w:pPr>
        <w:pStyle w:val="ListBullet"/>
      </w:pPr>
      <w:r>
        <w:t>Ưu đãi dùng thử/mua lần 2 với giá đặc biệt để tạo thói quen</w:t>
      </w:r>
    </w:p>
    <w:p>
      <w:pPr>
        <w:pStyle w:val="ListBullet"/>
      </w:pPr>
      <w:r>
        <w:t>Gửi nội dung giáo dục về sản phẩm (blog, video, hướng dẫn)</w:t>
      </w:r>
    </w:p>
    <w:p>
      <w:pPr>
        <w:pStyle w:val="ListBullet"/>
      </w:pPr>
      <w:r>
        <w:t>Chương trình 'mua X tặng Y' để tăng giá trị đơn hàng</w:t>
      </w:r>
    </w:p>
    <w:p>
      <w:pPr>
        <w:pStyle w:val="ListBullet"/>
      </w:pPr>
      <w:r>
        <w:t>Theo dõi sát hành vi – nếu không quay lại trong 30 ngày, gửi ưu đãi nhắc nhở.</w:t>
      </w:r>
    </w:p>
    <w:p>
      <w:pPr>
        <w:pStyle w:val="Heading2"/>
      </w:pPr>
      <w:r>
        <w:t>Nhóm hạng 3 → ❄️ Hibernating (KH Ngủ đông)</w:t>
      </w:r>
    </w:p>
    <w:p>
      <w:r>
        <w:t>Số lượng KH: 40878 (53.9%)</w:t>
      </w:r>
    </w:p>
    <w:p>
      <w:r>
        <w:t>R trung bình: 400 ngày | F trung bình: 1.0 lần | M trung bình: 78</w:t>
      </w:r>
    </w:p>
    <w:p>
      <w:r>
        <w:t>Chiến lược đề xuất:</w:t>
      </w:r>
    </w:p>
    <w:p>
      <w:pPr>
        <w:pStyle w:val="ListBullet"/>
      </w:pPr>
      <w:r>
        <w:t>Chiến dịch tái kích hoạt với ưu đãi mạnh (giảm 40-50% hoặc quà tặng miễn phí)</w:t>
      </w:r>
    </w:p>
    <w:p>
      <w:pPr>
        <w:pStyle w:val="ListBullet"/>
      </w:pPr>
      <w:r>
        <w:t>Nhắm đúng thời điểm: dịp lễ, Black Friday, sinh nhật khách hàng</w:t>
      </w:r>
    </w:p>
    <w:p>
      <w:pPr>
        <w:pStyle w:val="ListBullet"/>
      </w:pPr>
      <w:r>
        <w:t>A/B test nhiều kênh (email, SMS, push notification, quảng cáo retargeting)</w:t>
      </w:r>
    </w:p>
    <w:p>
      <w:pPr>
        <w:pStyle w:val="ListBullet"/>
      </w:pPr>
      <w:r>
        <w:t>Nếu không phản hồi sau 3 chiến dịch → giảm tần suất liên hệ để tiết kiệm chi phí</w:t>
      </w:r>
    </w:p>
    <w:p>
      <w:pPr>
        <w:pStyle w:val="ListBullet"/>
      </w:pPr>
      <w:r>
        <w:t>Phân tích lý do churn để cải thiện sản phẩm/dịch vụ cho các nhóm khác.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