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6A" w:rsidRPr="00032C6A" w:rsidRDefault="00032C6A" w:rsidP="00032C6A">
      <w:pPr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BE1E2D"/>
          <w:kern w:val="36"/>
          <w:sz w:val="27"/>
          <w:szCs w:val="27"/>
        </w:rPr>
      </w:pPr>
      <w:r w:rsidRPr="00032C6A">
        <w:rPr>
          <w:rFonts w:ascii="Arial" w:eastAsia="Times New Roman" w:hAnsi="Arial" w:cs="Arial"/>
          <w:b/>
          <w:bCs/>
          <w:caps/>
          <w:color w:val="BE1E2D"/>
          <w:kern w:val="36"/>
          <w:sz w:val="27"/>
          <w:szCs w:val="27"/>
        </w:rPr>
        <w:t xml:space="preserve">Cấp tài khoản định danh điện tử mức độ 02, </w:t>
      </w:r>
      <w:proofErr w:type="gramStart"/>
      <w:r w:rsidRPr="00032C6A">
        <w:rPr>
          <w:rFonts w:ascii="Arial" w:eastAsia="Times New Roman" w:hAnsi="Arial" w:cs="Arial"/>
          <w:b/>
          <w:bCs/>
          <w:caps/>
          <w:color w:val="BE1E2D"/>
          <w:kern w:val="36"/>
          <w:sz w:val="27"/>
          <w:szCs w:val="27"/>
        </w:rPr>
        <w:t>căn</w:t>
      </w:r>
      <w:proofErr w:type="gramEnd"/>
      <w:r w:rsidRPr="00032C6A">
        <w:rPr>
          <w:rFonts w:ascii="Arial" w:eastAsia="Times New Roman" w:hAnsi="Arial" w:cs="Arial"/>
          <w:b/>
          <w:bCs/>
          <w:caps/>
          <w:color w:val="BE1E2D"/>
          <w:kern w:val="36"/>
          <w:sz w:val="27"/>
          <w:szCs w:val="27"/>
        </w:rPr>
        <w:t xml:space="preserve"> cước điện tử cho công dân Việt Nam</w:t>
      </w:r>
    </w:p>
    <w:tbl>
      <w:tblPr>
        <w:tblW w:w="115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9885"/>
      </w:tblGrid>
      <w:tr w:rsidR="00032C6A" w:rsidRPr="00032C6A" w:rsidTr="00032C6A">
        <w:trPr>
          <w:trHeight w:val="51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02,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cho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Việt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Nam</w:t>
            </w:r>
          </w:p>
        </w:tc>
      </w:tr>
      <w:tr w:rsidR="00032C6A" w:rsidRPr="00032C6A" w:rsidTr="00032C6A">
        <w:trPr>
          <w:trHeight w:val="312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Trình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tự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a)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Đối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gắn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chip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Bước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1:</w:t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Nam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đến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phường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trấn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đăng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ký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Bước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2:</w:t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xuất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trình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gắn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chip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còn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hiệu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cung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đầy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trên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Phiếu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begin"/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instrText xml:space="preserve"> HYPERLINK "https://congan.quangbinh.gov.vn/dichvucong/wp-content/uploads/2024/08/TK01.pdf" </w:instrText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separate"/>
            </w:r>
            <w:r w:rsidRPr="00032C6A">
              <w:rPr>
                <w:rFonts w:ascii="inherit" w:eastAsia="Times New Roman" w:hAnsi="inherit" w:cs="Times New Roman"/>
                <w:color w:val="207DAF"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032C6A">
              <w:rPr>
                <w:rFonts w:ascii="inherit" w:eastAsia="Times New Roman" w:hAnsi="inherit" w:cs="Times New Roman"/>
                <w:color w:val="207DAF"/>
                <w:sz w:val="28"/>
                <w:szCs w:val="28"/>
                <w:bdr w:val="none" w:sz="0" w:space="0" w:color="auto" w:frame="1"/>
              </w:rPr>
              <w:t xml:space="preserve"> TK01</w:t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end"/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ban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kèm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69/2024/NĐ-CP 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25/6/2024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);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trong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đó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cung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rõ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thuê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bao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di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chỉ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thư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nếu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)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tích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nếu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cầu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)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tiếp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Bước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3:</w:t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tiếp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cung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hệ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thống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để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;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ảnh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khuôn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mặt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tay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đến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sở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dữ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liệu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khẳng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sự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đồng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ý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đăng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ký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tạo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lập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; in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phiếu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tiếp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hẹn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kết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Bước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4:</w:t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quan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lý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tiến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02,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báo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kết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đăng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ký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02,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qua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Ứng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dụng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hoặc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thuê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bao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di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hoặc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chỉ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thư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b)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Đối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chưa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gắn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chip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: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quan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an</w:t>
            </w:r>
            <w:proofErr w:type="gram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tiến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cùng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032C6A" w:rsidRPr="00032C6A" w:rsidTr="00032C6A">
        <w:trPr>
          <w:trHeight w:val="3075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Cách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thức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</w:rPr>
              <w:t>– </w:t>
            </w:r>
            <w:r w:rsidRPr="00032C6A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  <w:lang w:val="nl-NL"/>
              </w:rPr>
              <w:t>Công dân trực tiếp đến 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phường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trấn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để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02,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Thời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gian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trả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kết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quả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: 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Giờ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từ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thứ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đến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thứ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6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tuần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trừ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nghỉ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lễ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tết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pháp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luật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).</w:t>
            </w:r>
          </w:p>
        </w:tc>
      </w:tr>
      <w:tr w:rsidR="00032C6A" w:rsidRPr="00032C6A" w:rsidTr="00032C6A">
        <w:trPr>
          <w:trHeight w:val="282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Thành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phần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lượng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a.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Thành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phần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: 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xuất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trình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gắn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chip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còn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hiệu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cung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đầy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trên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Phiếu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begin"/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instrText xml:space="preserve"> HYPERLINK "https://congan.quangbinh.gov.vn/dichvucong/wp-content/uploads/2024/08/TK01.pdf" </w:instrText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separate"/>
            </w:r>
            <w:r w:rsidRPr="00032C6A">
              <w:rPr>
                <w:rFonts w:ascii="inherit" w:eastAsia="Times New Roman" w:hAnsi="inherit" w:cs="Times New Roman"/>
                <w:color w:val="207DAF"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032C6A">
              <w:rPr>
                <w:rFonts w:ascii="inherit" w:eastAsia="Times New Roman" w:hAnsi="inherit" w:cs="Times New Roman"/>
                <w:color w:val="207DAF"/>
                <w:sz w:val="28"/>
                <w:szCs w:val="28"/>
                <w:bdr w:val="none" w:sz="0" w:space="0" w:color="auto" w:frame="1"/>
              </w:rPr>
              <w:t xml:space="preserve"> TK01</w:t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end"/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ban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kèm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69/2024/NĐ-CP 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25/6/2024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);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trong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đó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cung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rõ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thuê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bao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di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chỉ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thư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nếu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)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tích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nếu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cầu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).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Trường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chưa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gắn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chip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: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chuẩn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đồng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“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Nam”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cùng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b.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lượng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01 (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một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)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032C6A" w:rsidRPr="00032C6A" w:rsidTr="00032C6A">
        <w:trPr>
          <w:trHeight w:val="1905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Thời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hạn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giải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quyết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quá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03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trường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gắn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chip,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còn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hiệu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;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quá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07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trường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chưa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gắn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chip,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hoặc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gắn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chip,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hết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hiệu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032C6A" w:rsidRPr="00032C6A" w:rsidTr="00032C6A">
        <w:trPr>
          <w:trHeight w:val="42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Đối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tượng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Nam.</w:t>
            </w:r>
          </w:p>
        </w:tc>
      </w:tr>
      <w:tr w:rsidR="00032C6A" w:rsidRPr="00032C6A" w:rsidTr="00032C6A">
        <w:trPr>
          <w:trHeight w:val="216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quan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quan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: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an</w:t>
            </w:r>
            <w:proofErr w:type="gram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phường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trấn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quan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thẩm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quyền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: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Cục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Cảnh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sát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lý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trật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tự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hội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an.</w:t>
            </w:r>
          </w:p>
        </w:tc>
      </w:tr>
      <w:tr w:rsidR="00032C6A" w:rsidRPr="00032C6A" w:rsidTr="00032C6A">
        <w:trPr>
          <w:trHeight w:val="1305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Kết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quả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</w:t>
            </w:r>
            <w:bookmarkStart w:id="0" w:name="_GoBack"/>
            <w:bookmarkEnd w:id="0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hực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báo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kết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đăng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ký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02,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qua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Ứng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dụng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VNeID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)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hoặc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thuê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bao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di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hoặc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chỉ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thư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032C6A" w:rsidRPr="00032C6A" w:rsidTr="00032C6A">
        <w:trPr>
          <w:trHeight w:val="42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Phí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lệ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phí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032C6A" w:rsidRPr="00032C6A" w:rsidTr="00032C6A">
        <w:trPr>
          <w:trHeight w:val="84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Yêu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cầu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điều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kiện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dưới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14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tuổi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giám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đại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cùng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đại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hoặc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giám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mình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đến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gram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an</w:t>
            </w:r>
            <w:proofErr w:type="gram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huyện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để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02,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032C6A" w:rsidRPr="00032C6A" w:rsidRDefault="00032C6A" w:rsidP="00032C6A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đại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giám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dụng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thuê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bao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di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mình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để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kê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khai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đăng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ký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tài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khoản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mức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02,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cho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Việt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Nam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dưới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14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tuổi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giám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hộ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người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đại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032C6A" w:rsidRPr="00032C6A" w:rsidTr="00032C6A">
        <w:trPr>
          <w:trHeight w:val="84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cứ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pháp</w:t>
            </w:r>
            <w:proofErr w:type="spellEnd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lý</w:t>
            </w:r>
            <w:proofErr w:type="spellEnd"/>
          </w:p>
        </w:tc>
        <w:tc>
          <w:tcPr>
            <w:tcW w:w="984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032C6A" w:rsidRPr="00032C6A" w:rsidRDefault="00032C6A" w:rsidP="00032C6A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69/2024/NĐ-CP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25/6/2024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phủ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032C6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</w:tbl>
    <w:p w:rsidR="00AB1B58" w:rsidRDefault="00AB1B58"/>
    <w:sectPr w:rsidR="00AB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6A"/>
    <w:rsid w:val="00032C6A"/>
    <w:rsid w:val="00A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32C6A"/>
    <w:rPr>
      <w:b/>
      <w:bCs/>
    </w:rPr>
  </w:style>
  <w:style w:type="paragraph" w:styleId="NormalWeb">
    <w:name w:val="Normal (Web)"/>
    <w:basedOn w:val="Normal"/>
    <w:uiPriority w:val="99"/>
    <w:unhideWhenUsed/>
    <w:rsid w:val="0003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C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32C6A"/>
    <w:rPr>
      <w:b/>
      <w:bCs/>
    </w:rPr>
  </w:style>
  <w:style w:type="paragraph" w:styleId="NormalWeb">
    <w:name w:val="Normal (Web)"/>
    <w:basedOn w:val="Normal"/>
    <w:uiPriority w:val="99"/>
    <w:unhideWhenUsed/>
    <w:rsid w:val="0003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C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2025-04-05T15:04:00Z</dcterms:created>
  <dcterms:modified xsi:type="dcterms:W3CDTF">2025-04-05T15:04:00Z</dcterms:modified>
</cp:coreProperties>
</file>