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9FCE8" w14:textId="77777777" w:rsidR="00CA3C08" w:rsidRDefault="007E08B8" w:rsidP="000A0EA4">
      <w:pPr>
        <w:pStyle w:val="Heading1"/>
      </w:pPr>
      <w:r>
        <w:t>INSTRUCTIONS</w:t>
      </w:r>
    </w:p>
    <w:p w14:paraId="30A9FCE9" w14:textId="77777777" w:rsidR="00CA3C08" w:rsidRDefault="005000B6" w:rsidP="000A0EA4">
      <w:pPr>
        <w:pStyle w:val="Heading1"/>
      </w:pPr>
      <w:r>
        <w:t>Documentation and Coding for Patient Safety Indicators</w:t>
      </w:r>
    </w:p>
    <w:p w14:paraId="30A9FCEA" w14:textId="77777777" w:rsidR="00CA3C08" w:rsidRDefault="00CA3C08" w:rsidP="000A0EA4">
      <w:pPr>
        <w:pStyle w:val="Heading1"/>
      </w:pPr>
    </w:p>
    <w:p w14:paraId="30A9FCEB" w14:textId="6B0D9592" w:rsidR="005000B6" w:rsidRDefault="005000B6" w:rsidP="00FF31A5">
      <w:r w:rsidRPr="0091429A">
        <w:rPr>
          <w:b/>
          <w:bCs/>
        </w:rPr>
        <w:t>What is this tool?</w:t>
      </w:r>
      <w:r w:rsidR="00612A3E">
        <w:t xml:space="preserve"> </w:t>
      </w:r>
      <w:r>
        <w:t xml:space="preserve">The purpose of this tool is to facilitate improvements to documentation and coding processes to ensure that PSI rates are accurate. The tool has two sections. The first describes procedures to address problems with documentation and coding practices among providers and hospital staff. The second illustrates some of the issues that </w:t>
      </w:r>
      <w:r w:rsidR="00A12A0D">
        <w:t xml:space="preserve">can </w:t>
      </w:r>
      <w:r>
        <w:t xml:space="preserve">arise when documenting and coding each PSI. </w:t>
      </w:r>
    </w:p>
    <w:p w14:paraId="30A9FCEC" w14:textId="4F05C492" w:rsidR="005000B6" w:rsidRDefault="00682443" w:rsidP="00FF31A5">
      <w:r>
        <w:rPr>
          <w:b/>
          <w:bCs/>
        </w:rPr>
        <w:t>Who are the t</w:t>
      </w:r>
      <w:r w:rsidR="005000B6" w:rsidRPr="000E0172">
        <w:rPr>
          <w:b/>
          <w:bCs/>
        </w:rPr>
        <w:t xml:space="preserve">arget </w:t>
      </w:r>
      <w:r w:rsidR="005000B6">
        <w:rPr>
          <w:b/>
          <w:bCs/>
        </w:rPr>
        <w:t>a</w:t>
      </w:r>
      <w:r w:rsidR="005000B6" w:rsidRPr="000E0172">
        <w:rPr>
          <w:b/>
          <w:bCs/>
        </w:rPr>
        <w:t>udiences</w:t>
      </w:r>
      <w:r>
        <w:rPr>
          <w:b/>
          <w:bCs/>
        </w:rPr>
        <w:t>?</w:t>
      </w:r>
      <w:r w:rsidR="00612A3E">
        <w:t xml:space="preserve"> </w:t>
      </w:r>
      <w:r w:rsidR="005000B6">
        <w:t>The primary audiences for this tool are providers, clinical documentation improvement specialists, coders, and quality officers</w:t>
      </w:r>
      <w:r w:rsidR="00A12A0D">
        <w:t>.</w:t>
      </w:r>
      <w:r w:rsidR="005000B6">
        <w:t xml:space="preserve"> </w:t>
      </w:r>
      <w:r w:rsidR="00A12A0D">
        <w:t>A</w:t>
      </w:r>
      <w:r w:rsidR="005000B6">
        <w:t xml:space="preserve">ll of </w:t>
      </w:r>
      <w:r w:rsidR="00A12A0D">
        <w:t>them</w:t>
      </w:r>
      <w:r w:rsidR="005000B6">
        <w:t xml:space="preserve"> have roles in coding diagnoses and procedures from medical records, which will be used to calculate </w:t>
      </w:r>
      <w:r>
        <w:t xml:space="preserve">PSI </w:t>
      </w:r>
      <w:r w:rsidR="005000B6">
        <w:t>incidence rates.</w:t>
      </w:r>
      <w:r w:rsidR="00612A3E">
        <w:t xml:space="preserve"> </w:t>
      </w:r>
    </w:p>
    <w:p w14:paraId="30A9FCED" w14:textId="17481740" w:rsidR="005000B6" w:rsidRDefault="005000B6" w:rsidP="00F92F93">
      <w:r w:rsidRPr="0091429A">
        <w:rPr>
          <w:b/>
          <w:bCs/>
        </w:rPr>
        <w:t>How can this tool help you?</w:t>
      </w:r>
      <w:r w:rsidR="00612A3E">
        <w:t xml:space="preserve"> </w:t>
      </w:r>
      <w:r w:rsidR="00A12A0D">
        <w:t>By</w:t>
      </w:r>
      <w:r>
        <w:t xml:space="preserve"> us</w:t>
      </w:r>
      <w:r w:rsidR="00A12A0D">
        <w:t>ing</w:t>
      </w:r>
      <w:r>
        <w:t xml:space="preserve"> this tool, stakeholders should gain a better understanding of how documentation and coding can affect PSI rates</w:t>
      </w:r>
      <w:r w:rsidR="00A12A0D">
        <w:t>.</w:t>
      </w:r>
      <w:r>
        <w:t xml:space="preserve"> </w:t>
      </w:r>
      <w:r w:rsidR="00A12A0D">
        <w:t>They also</w:t>
      </w:r>
      <w:r>
        <w:t xml:space="preserve"> will </w:t>
      </w:r>
      <w:r w:rsidR="00A12A0D">
        <w:t>learn</w:t>
      </w:r>
      <w:r>
        <w:t xml:space="preserve"> about actions th</w:t>
      </w:r>
      <w:r w:rsidR="00A12A0D">
        <w:t>ey</w:t>
      </w:r>
      <w:r>
        <w:t xml:space="preserve"> can take to estimate their PSI rates more accurately.</w:t>
      </w:r>
      <w:r w:rsidR="00612A3E">
        <w:t xml:space="preserve"> </w:t>
      </w:r>
      <w:r>
        <w:t xml:space="preserve">Efforts to improve documentation and coding accuracy can reduce variability in data, increase confidence in the </w:t>
      </w:r>
      <w:r w:rsidR="00A12A0D">
        <w:t xml:space="preserve">PSI </w:t>
      </w:r>
      <w:r>
        <w:t>rates, and help identify areas where improvements can be made in both measurement and care processes.</w:t>
      </w:r>
      <w:r w:rsidR="00612A3E">
        <w:t xml:space="preserve"> </w:t>
      </w:r>
    </w:p>
    <w:p w14:paraId="30A9FCEE" w14:textId="6306E3BD" w:rsidR="005000B6" w:rsidRDefault="005000B6" w:rsidP="00FF31A5">
      <w:r w:rsidRPr="0091429A">
        <w:rPr>
          <w:b/>
          <w:bCs/>
        </w:rPr>
        <w:t>How does this tool relate to the others?</w:t>
      </w:r>
      <w:r w:rsidR="00612A3E">
        <w:t xml:space="preserve"> </w:t>
      </w:r>
      <w:r>
        <w:t xml:space="preserve">This tool should be used in conjunction with the other tools for </w:t>
      </w:r>
      <w:r w:rsidR="00A12A0D">
        <w:t>a</w:t>
      </w:r>
      <w:r w:rsidRPr="00C55EA7">
        <w:t xml:space="preserve">pplying </w:t>
      </w:r>
      <w:r w:rsidR="00A12A0D">
        <w:t>quality indicators (</w:t>
      </w:r>
      <w:r w:rsidRPr="00C55EA7">
        <w:t>Q</w:t>
      </w:r>
      <w:r w:rsidR="00A12A0D">
        <w:t>I</w:t>
      </w:r>
      <w:r w:rsidRPr="00C55EA7">
        <w:t>s</w:t>
      </w:r>
      <w:r w:rsidR="00A12A0D">
        <w:t>)</w:t>
      </w:r>
      <w:r w:rsidRPr="00C55EA7">
        <w:t xml:space="preserve"> to </w:t>
      </w:r>
      <w:r w:rsidR="00A12A0D">
        <w:t>h</w:t>
      </w:r>
      <w:r w:rsidRPr="00C55EA7">
        <w:t xml:space="preserve">ospital </w:t>
      </w:r>
      <w:r w:rsidR="00A12A0D">
        <w:t>d</w:t>
      </w:r>
      <w:r w:rsidRPr="00C55EA7">
        <w:t>ata</w:t>
      </w:r>
      <w:r>
        <w:t xml:space="preserve"> (B tools).</w:t>
      </w:r>
      <w:r w:rsidR="00612A3E">
        <w:t xml:space="preserve"> </w:t>
      </w:r>
      <w:r>
        <w:t xml:space="preserve">After you calculate </w:t>
      </w:r>
      <w:r w:rsidR="00A12A0D">
        <w:t xml:space="preserve">your </w:t>
      </w:r>
      <w:proofErr w:type="spellStart"/>
      <w:r w:rsidR="00A12A0D">
        <w:t>hospital’s</w:t>
      </w:r>
      <w:r>
        <w:t>PSI</w:t>
      </w:r>
      <w:proofErr w:type="spellEnd"/>
      <w:r>
        <w:t xml:space="preserve"> rates, you can assess their validity by examining how accurately </w:t>
      </w:r>
      <w:proofErr w:type="gramStart"/>
      <w:r>
        <w:t>providers</w:t>
      </w:r>
      <w:proofErr w:type="gramEnd"/>
      <w:r>
        <w:t xml:space="preserve"> document diagnoses, procedures, events, and related issues</w:t>
      </w:r>
      <w:r w:rsidR="00A12A0D">
        <w:t>.</w:t>
      </w:r>
      <w:r>
        <w:t xml:space="preserve"> </w:t>
      </w:r>
      <w:r w:rsidR="00A12A0D">
        <w:t>You also can look at</w:t>
      </w:r>
      <w:r>
        <w:t xml:space="preserve"> how accurately </w:t>
      </w:r>
      <w:r w:rsidR="00A12A0D">
        <w:t>these items</w:t>
      </w:r>
      <w:r>
        <w:t xml:space="preserve"> were coded for use in quality measurement and billing processes.</w:t>
      </w:r>
      <w:r w:rsidR="00612A3E">
        <w:t xml:space="preserve"> </w:t>
      </w:r>
    </w:p>
    <w:p w14:paraId="30A9FCEF" w14:textId="6A3359A2" w:rsidR="00861F39" w:rsidRDefault="00C4799B" w:rsidP="00FF31A5">
      <w:proofErr w:type="gramStart"/>
      <w:r w:rsidRPr="00C4799B">
        <w:rPr>
          <w:b/>
        </w:rPr>
        <w:t>When ICD-9</w:t>
      </w:r>
      <w:r w:rsidR="001333AC">
        <w:rPr>
          <w:rStyle w:val="FootnoteReference"/>
          <w:b/>
        </w:rPr>
        <w:footnoteReference w:id="2"/>
      </w:r>
      <w:r w:rsidRPr="00C4799B">
        <w:rPr>
          <w:b/>
        </w:rPr>
        <w:t xml:space="preserve"> becomes ICD-10.</w:t>
      </w:r>
      <w:proofErr w:type="gramEnd"/>
      <w:r w:rsidR="00612A3E">
        <w:t xml:space="preserve"> </w:t>
      </w:r>
      <w:r>
        <w:t>All of the information provided in this documentation and coding tool is based on use of the ICD-9-CM codes for calculating PSI incidence rates.</w:t>
      </w:r>
      <w:r w:rsidR="00612A3E">
        <w:t xml:space="preserve"> </w:t>
      </w:r>
      <w:r>
        <w:t>When the ICD-10 codes become the standard for the U.S. health care system, AHRQ will revise the definitions of the PSIs to conform to the new codes.</w:t>
      </w:r>
      <w:r w:rsidR="00612A3E">
        <w:t xml:space="preserve"> </w:t>
      </w:r>
      <w:r w:rsidR="001333AC">
        <w:t>N</w:t>
      </w:r>
      <w:r>
        <w:t xml:space="preserve">ew coding issues will </w:t>
      </w:r>
      <w:r w:rsidR="001333AC">
        <w:t xml:space="preserve">likely </w:t>
      </w:r>
      <w:r>
        <w:t>arise as hospitals start to work with the revised PSIs.</w:t>
      </w:r>
      <w:r w:rsidR="00612A3E">
        <w:t xml:space="preserve"> </w:t>
      </w:r>
      <w:r>
        <w:t xml:space="preserve">This tool will need to be revised at that time, to be consistent with the new PSI definitions and to provide guidance regarding relevant </w:t>
      </w:r>
      <w:r w:rsidR="0072699E">
        <w:t xml:space="preserve">documentation and coding </w:t>
      </w:r>
      <w:r>
        <w:t>issues.</w:t>
      </w:r>
      <w:r w:rsidR="00612A3E">
        <w:t xml:space="preserve"> </w:t>
      </w:r>
    </w:p>
    <w:p w14:paraId="30A9FCF0" w14:textId="77777777" w:rsidR="00302B8A" w:rsidRDefault="00302B8A">
      <w:pPr>
        <w:spacing w:after="0"/>
        <w:sectPr w:rsidR="00302B8A" w:rsidSect="00D83015">
          <w:headerReference w:type="default" r:id="rId13"/>
          <w:footerReference w:type="default" r:id="rId14"/>
          <w:headerReference w:type="first" r:id="rId15"/>
          <w:footerReference w:type="first" r:id="rId16"/>
          <w:footnotePr>
            <w:numFmt w:val="lowerRoman"/>
          </w:footnotePr>
          <w:pgSz w:w="12240" w:h="15840" w:code="1"/>
          <w:pgMar w:top="1440" w:right="1440" w:bottom="1440" w:left="1440" w:header="720" w:footer="720" w:gutter="0"/>
          <w:cols w:space="720"/>
          <w:titlePg/>
          <w:docGrid w:linePitch="360"/>
        </w:sectPr>
      </w:pPr>
    </w:p>
    <w:p w14:paraId="30A9FCF1" w14:textId="77777777" w:rsidR="005000B6" w:rsidRDefault="005000B6" w:rsidP="00111145">
      <w:pPr>
        <w:pStyle w:val="Heading1"/>
      </w:pPr>
      <w:r>
        <w:lastRenderedPageBreak/>
        <w:t>Addressing the Documentation and Coding Process</w:t>
      </w:r>
    </w:p>
    <w:p w14:paraId="30A9FCF2" w14:textId="77777777" w:rsidR="00111145" w:rsidRPr="00111145" w:rsidRDefault="00111145" w:rsidP="00111145">
      <w:pPr>
        <w:pStyle w:val="Heading1"/>
      </w:pPr>
    </w:p>
    <w:p w14:paraId="30A9FCF3" w14:textId="77777777" w:rsidR="005000B6" w:rsidRDefault="005000B6" w:rsidP="00111145">
      <w:r>
        <w:t>The documentation and coding process is the transformation of narrative descriptions of diseases, injuries, and health</w:t>
      </w:r>
      <w:r w:rsidR="00111145">
        <w:t xml:space="preserve"> </w:t>
      </w:r>
      <w:r>
        <w:t xml:space="preserve">care procedures into numeric or alphanumeric designations (that is, code numbers). The code numbers are detailed to accurately describe the diagnoses (what is wrong with the patient) and the procedures performed to test or </w:t>
      </w:r>
      <w:r w:rsidR="00111145">
        <w:t>treat</w:t>
      </w:r>
      <w:r>
        <w:t xml:space="preserve"> these diagnoses. </w:t>
      </w:r>
    </w:p>
    <w:p w14:paraId="30A9FCF4" w14:textId="53355AA8" w:rsidR="005000B6" w:rsidRDefault="005000B6" w:rsidP="00FA0F1E">
      <w:r>
        <w:t xml:space="preserve">Policymakers are placing greater emphasis on quality performance and expect </w:t>
      </w:r>
      <w:r w:rsidR="00111145">
        <w:t xml:space="preserve">hospitals to </w:t>
      </w:r>
      <w:r>
        <w:t>report on clinical care measures.</w:t>
      </w:r>
      <w:r w:rsidR="00612A3E">
        <w:t xml:space="preserve"> </w:t>
      </w:r>
      <w:r w:rsidR="00111145">
        <w:t>Therefore</w:t>
      </w:r>
      <w:r>
        <w:t>, hospitals are now focusing both on coding for appropriate reimbursement and coding for accurate quality measurement and reporting.</w:t>
      </w:r>
      <w:r w:rsidR="00612A3E">
        <w:t xml:space="preserve"> </w:t>
      </w:r>
    </w:p>
    <w:p w14:paraId="30A9FCF5" w14:textId="08F3FAFC" w:rsidR="005000B6" w:rsidRDefault="005000B6" w:rsidP="00C05443">
      <w:r>
        <w:t xml:space="preserve">The documentation and coding issues and suggested actions discussed in this section are relevant not only for coding of medical information for the PSIs </w:t>
      </w:r>
      <w:r w:rsidR="00111145">
        <w:t xml:space="preserve">but </w:t>
      </w:r>
      <w:r>
        <w:t>also for a hospital’s entire documentation and coding process.</w:t>
      </w:r>
      <w:r w:rsidR="00612A3E">
        <w:t xml:space="preserve"> </w:t>
      </w:r>
      <w:r>
        <w:t>In the following section, issues specific to the PSIs are discussed, including issues and actions specific to each PSI.</w:t>
      </w:r>
      <w:r w:rsidR="00612A3E">
        <w:t xml:space="preserve"> </w:t>
      </w:r>
    </w:p>
    <w:p w14:paraId="30A9FCF6" w14:textId="26C1265F" w:rsidR="009C263E" w:rsidRDefault="005000B6" w:rsidP="00B87C5F">
      <w:r>
        <w:t xml:space="preserve">Coders </w:t>
      </w:r>
      <w:r w:rsidR="00EA04A7">
        <w:t xml:space="preserve">must </w:t>
      </w:r>
      <w:r>
        <w:t>use the documentation provided by physicians and other providers, in compliance with coding regulations, to establish the codes for each inpatient stay</w:t>
      </w:r>
      <w:r>
        <w:rPr>
          <w:rFonts w:ascii="Helvetica" w:hAnsi="Helvetica" w:cs="Helvetica"/>
          <w:color w:val="000000"/>
        </w:rPr>
        <w:t>.</w:t>
      </w:r>
      <w:r w:rsidRPr="00A3359D">
        <w:rPr>
          <w:rFonts w:ascii="Helvetica" w:hAnsi="Helvetica" w:cs="Helvetica"/>
          <w:color w:val="000000"/>
        </w:rPr>
        <w:t xml:space="preserve"> </w:t>
      </w:r>
      <w:r w:rsidR="00111145">
        <w:t>T</w:t>
      </w:r>
      <w:r>
        <w:t xml:space="preserve">o achieve accurate coding, </w:t>
      </w:r>
      <w:r w:rsidR="00B677D9">
        <w:t>providers</w:t>
      </w:r>
      <w:r>
        <w:t xml:space="preserve"> need to </w:t>
      </w:r>
      <w:r w:rsidR="00111145">
        <w:t>understand</w:t>
      </w:r>
      <w:r w:rsidR="00751504">
        <w:t xml:space="preserve"> the coding process</w:t>
      </w:r>
      <w:r w:rsidR="00EA04A7">
        <w:t xml:space="preserve"> and the rules </w:t>
      </w:r>
      <w:r w:rsidR="00102336">
        <w:t>that</w:t>
      </w:r>
      <w:r w:rsidR="00861F39">
        <w:t xml:space="preserve"> must </w:t>
      </w:r>
      <w:r w:rsidR="00102336">
        <w:t xml:space="preserve">be </w:t>
      </w:r>
      <w:r w:rsidR="00861F39">
        <w:t>follow</w:t>
      </w:r>
      <w:r w:rsidR="00102336">
        <w:t>ed</w:t>
      </w:r>
      <w:r w:rsidR="00861F39">
        <w:t xml:space="preserve"> to ensure coding objectivity</w:t>
      </w:r>
      <w:r w:rsidR="00111145">
        <w:t>.</w:t>
      </w:r>
      <w:r w:rsidR="009C263E">
        <w:rPr>
          <w:rStyle w:val="FootnoteReference"/>
        </w:rPr>
        <w:footnoteReference w:id="3"/>
      </w:r>
      <w:r w:rsidR="00612A3E">
        <w:t xml:space="preserve"> </w:t>
      </w:r>
      <w:r w:rsidR="00B677D9">
        <w:t>Providers</w:t>
      </w:r>
      <w:r w:rsidR="00EA04A7">
        <w:t xml:space="preserve"> should</w:t>
      </w:r>
      <w:r>
        <w:t xml:space="preserve"> use consistent language and specific diagnostic terms to document clinical care</w:t>
      </w:r>
      <w:r w:rsidR="00861F39">
        <w:t xml:space="preserve"> </w:t>
      </w:r>
      <w:r w:rsidR="009C263E">
        <w:t xml:space="preserve">and </w:t>
      </w:r>
      <w:r w:rsidR="00861F39">
        <w:t>to provide the complete information needed for accurate coding</w:t>
      </w:r>
      <w:r>
        <w:t>.</w:t>
      </w:r>
      <w:r w:rsidR="00612A3E">
        <w:t xml:space="preserve"> </w:t>
      </w:r>
      <w:r w:rsidR="00EA04A7">
        <w:t>Also</w:t>
      </w:r>
      <w:r>
        <w:t xml:space="preserve"> need</w:t>
      </w:r>
      <w:r w:rsidR="00EA04A7">
        <w:t>ed is</w:t>
      </w:r>
      <w:r>
        <w:t xml:space="preserve"> a well-established process through which clinical documentation improvement (CDI) specialists and coders can query physicians to resolve questions or issues (</w:t>
      </w:r>
      <w:proofErr w:type="spellStart"/>
      <w:r>
        <w:t>Preskitt</w:t>
      </w:r>
      <w:proofErr w:type="spellEnd"/>
      <w:r>
        <w:t xml:space="preserve">, 2005; </w:t>
      </w:r>
      <w:proofErr w:type="spellStart"/>
      <w:r>
        <w:t>Ballentine</w:t>
      </w:r>
      <w:proofErr w:type="spellEnd"/>
      <w:r>
        <w:t>,</w:t>
      </w:r>
      <w:r w:rsidRPr="0099571F">
        <w:t xml:space="preserve"> </w:t>
      </w:r>
      <w:r>
        <w:t xml:space="preserve">2009; </w:t>
      </w:r>
      <w:proofErr w:type="spellStart"/>
      <w:r>
        <w:t>Orcutt</w:t>
      </w:r>
      <w:proofErr w:type="spellEnd"/>
      <w:r>
        <w:t xml:space="preserve"> 2009).</w:t>
      </w:r>
      <w:r w:rsidR="00612A3E">
        <w:t xml:space="preserve"> </w:t>
      </w:r>
    </w:p>
    <w:p w14:paraId="30A9FCF7" w14:textId="590CCC53" w:rsidR="005000B6" w:rsidRDefault="009C263E" w:rsidP="00B87C5F">
      <w:r>
        <w:t>In summary, effective documentation and coding involve</w:t>
      </w:r>
      <w:r w:rsidR="005000B6">
        <w:t xml:space="preserve"> </w:t>
      </w:r>
      <w:r>
        <w:t xml:space="preserve">processes involve </w:t>
      </w:r>
      <w:r w:rsidR="005000B6">
        <w:t>the following key steps:</w:t>
      </w:r>
      <w:r w:rsidR="00612A3E">
        <w:t xml:space="preserve"> </w:t>
      </w:r>
    </w:p>
    <w:p w14:paraId="30A9FCF8" w14:textId="475EE1BF" w:rsidR="00CA3C08" w:rsidRDefault="005000B6" w:rsidP="000A0EA4">
      <w:pPr>
        <w:pStyle w:val="ListBullet2"/>
      </w:pPr>
      <w:r w:rsidRPr="008F3856">
        <w:rPr>
          <w:i/>
          <w:iCs/>
        </w:rPr>
        <w:t>Documentation</w:t>
      </w:r>
      <w:r>
        <w:t>:</w:t>
      </w:r>
      <w:r w:rsidR="00612A3E">
        <w:t xml:space="preserve"> </w:t>
      </w:r>
      <w:r>
        <w:t>Establish documentation criteria for providers, including specific diagnostic terms that are consistent with clinical definitions and compliant with coding regulations.</w:t>
      </w:r>
    </w:p>
    <w:p w14:paraId="30A9FCF9" w14:textId="14005488" w:rsidR="00CA3C08" w:rsidRDefault="005000B6" w:rsidP="000A0EA4">
      <w:pPr>
        <w:pStyle w:val="ListBullet2"/>
      </w:pPr>
      <w:r w:rsidRPr="008F3856">
        <w:rPr>
          <w:i/>
          <w:iCs/>
        </w:rPr>
        <w:t>Coding</w:t>
      </w:r>
      <w:r>
        <w:t>:</w:t>
      </w:r>
      <w:r w:rsidR="00612A3E">
        <w:t xml:space="preserve"> </w:t>
      </w:r>
      <w:r>
        <w:t xml:space="preserve">Establish coding criteria for conditions or events using the documentation </w:t>
      </w:r>
      <w:r w:rsidR="009C263E">
        <w:t>from</w:t>
      </w:r>
      <w:r>
        <w:t xml:space="preserve"> providers, and offer training on us</w:t>
      </w:r>
      <w:r w:rsidR="009C263E">
        <w:t>ing</w:t>
      </w:r>
      <w:r>
        <w:t xml:space="preserve"> these criteria.</w:t>
      </w:r>
    </w:p>
    <w:p w14:paraId="30A9FCFA" w14:textId="462CA3F6" w:rsidR="00CA3C08" w:rsidRDefault="005000B6" w:rsidP="000A0EA4">
      <w:pPr>
        <w:pStyle w:val="ListBullet2"/>
      </w:pPr>
      <w:r w:rsidRPr="008F3856">
        <w:rPr>
          <w:i/>
          <w:iCs/>
        </w:rPr>
        <w:t>Query process</w:t>
      </w:r>
      <w:r>
        <w:t>:</w:t>
      </w:r>
      <w:r w:rsidR="00612A3E">
        <w:t xml:space="preserve"> </w:t>
      </w:r>
      <w:r>
        <w:t>Establish an effective process that CDI specialists and coders can use to obtain clarification from physicians on documentation issues that may affect the coding process.</w:t>
      </w:r>
      <w:r w:rsidR="00612A3E">
        <w:t xml:space="preserve"> </w:t>
      </w:r>
    </w:p>
    <w:p w14:paraId="30A9FCFB" w14:textId="77777777" w:rsidR="00CA3C08" w:rsidRDefault="005000B6" w:rsidP="000A0EA4">
      <w:pPr>
        <w:pStyle w:val="Heading2"/>
      </w:pPr>
      <w:r w:rsidRPr="00681702">
        <w:t xml:space="preserve">Documentation by </w:t>
      </w:r>
      <w:r>
        <w:t>Providers</w:t>
      </w:r>
    </w:p>
    <w:p w14:paraId="30A9FCFC" w14:textId="77777777" w:rsidR="00CA3C08" w:rsidRDefault="005000B6" w:rsidP="000A0EA4">
      <w:r>
        <w:t>Because coders can use only documentation that compli</w:t>
      </w:r>
      <w:r w:rsidR="00B50354">
        <w:t>es</w:t>
      </w:r>
      <w:r>
        <w:t xml:space="preserve"> with coding regulations, physicians and other providers need to understand coding requirements and learn to consistently document </w:t>
      </w:r>
      <w:r>
        <w:lastRenderedPageBreak/>
        <w:t>using appropriate terminology. Th</w:t>
      </w:r>
      <w:r w:rsidR="00B50354">
        <w:t>ey</w:t>
      </w:r>
      <w:r>
        <w:t xml:space="preserve"> </w:t>
      </w:r>
      <w:r w:rsidR="00B50354">
        <w:t>need to</w:t>
      </w:r>
      <w:r>
        <w:t xml:space="preserve"> document diagnoses, conditions, symptoms, </w:t>
      </w:r>
      <w:r w:rsidR="00B50354">
        <w:t>and</w:t>
      </w:r>
      <w:r>
        <w:t xml:space="preserve"> procedures using the following practices: </w:t>
      </w:r>
    </w:p>
    <w:p w14:paraId="30A9FCFD" w14:textId="77777777" w:rsidR="00CA3C08" w:rsidRDefault="005000B6" w:rsidP="000A0EA4">
      <w:pPr>
        <w:pStyle w:val="ListBullet2"/>
      </w:pPr>
      <w:r>
        <w:t>Avoid abbreviations and symbols</w:t>
      </w:r>
      <w:r w:rsidR="00B50354">
        <w:t>.</w:t>
      </w:r>
    </w:p>
    <w:p w14:paraId="30A9FCFE" w14:textId="77777777" w:rsidR="00CA3C08" w:rsidRDefault="005000B6" w:rsidP="000A0EA4">
      <w:pPr>
        <w:pStyle w:val="ListBullet2"/>
      </w:pPr>
      <w:r>
        <w:t>Write complete SOAP (subjective, objective, assessment, and plan) notes</w:t>
      </w:r>
      <w:r w:rsidR="00B50354">
        <w:t>.</w:t>
      </w:r>
    </w:p>
    <w:p w14:paraId="30A9FCFF" w14:textId="77777777" w:rsidR="00CA3C08" w:rsidRDefault="005000B6" w:rsidP="000A0EA4">
      <w:pPr>
        <w:pStyle w:val="ListBullet2"/>
      </w:pPr>
      <w:r>
        <w:t>Become familiar with rules and concepts of documentation</w:t>
      </w:r>
      <w:r w:rsidR="00324779">
        <w:t xml:space="preserve"> and coding</w:t>
      </w:r>
      <w:r w:rsidR="00B50354">
        <w:t>.</w:t>
      </w:r>
    </w:p>
    <w:p w14:paraId="30A9FD00" w14:textId="77777777" w:rsidR="00CA3C08" w:rsidRDefault="005000B6" w:rsidP="000A0EA4">
      <w:pPr>
        <w:pStyle w:val="ListBullet2"/>
      </w:pPr>
      <w:r>
        <w:t>Be accurate and comprehensive</w:t>
      </w:r>
      <w:r w:rsidR="00B50354">
        <w:t>.</w:t>
      </w:r>
    </w:p>
    <w:p w14:paraId="30A9FD01" w14:textId="77777777" w:rsidR="00CA3C08" w:rsidRDefault="005000B6" w:rsidP="000A0EA4">
      <w:pPr>
        <w:pStyle w:val="ListBullet2"/>
      </w:pPr>
      <w:r>
        <w:t>Document a thorough history and physical</w:t>
      </w:r>
      <w:r w:rsidR="00B50354">
        <w:t>.</w:t>
      </w:r>
      <w:r>
        <w:t xml:space="preserve"> </w:t>
      </w:r>
    </w:p>
    <w:p w14:paraId="30A9FD02" w14:textId="77777777" w:rsidR="00CA3C08" w:rsidRDefault="005000B6" w:rsidP="000A0EA4">
      <w:pPr>
        <w:pStyle w:val="ListBullet2"/>
      </w:pPr>
      <w:r>
        <w:t>Document the outcomes of “rule</w:t>
      </w:r>
      <w:r w:rsidR="00A33DDA">
        <w:t xml:space="preserve"> </w:t>
      </w:r>
      <w:r>
        <w:t>out,” “consider</w:t>
      </w:r>
      <w:r w:rsidR="00B50354">
        <w:t>,</w:t>
      </w:r>
      <w:r>
        <w:t>” and “possible” diagnoses</w:t>
      </w:r>
      <w:r w:rsidR="00B50354">
        <w:t>.</w:t>
      </w:r>
    </w:p>
    <w:p w14:paraId="30A9FD03" w14:textId="77777777" w:rsidR="00CA3C08" w:rsidRDefault="005000B6" w:rsidP="000A0EA4">
      <w:pPr>
        <w:pStyle w:val="ListBullet2"/>
      </w:pPr>
      <w:r>
        <w:t>Identify the principal diagnosis</w:t>
      </w:r>
      <w:r w:rsidR="00B50354">
        <w:t>.</w:t>
      </w:r>
    </w:p>
    <w:p w14:paraId="30A9FD04" w14:textId="77777777" w:rsidR="00CA3C08" w:rsidRDefault="005000B6" w:rsidP="000A0EA4">
      <w:pPr>
        <w:pStyle w:val="ListBullet2"/>
      </w:pPr>
      <w:r>
        <w:t>Include all secondary diagnoses and conditions</w:t>
      </w:r>
      <w:r w:rsidR="00B50354">
        <w:t>.</w:t>
      </w:r>
    </w:p>
    <w:p w14:paraId="30A9FD05" w14:textId="77777777" w:rsidR="00CA3C08" w:rsidRDefault="005000B6" w:rsidP="000A0EA4">
      <w:pPr>
        <w:pStyle w:val="Heading2"/>
      </w:pPr>
      <w:r>
        <w:t xml:space="preserve">Expert </w:t>
      </w:r>
      <w:r w:rsidRPr="00681702">
        <w:t>Coding</w:t>
      </w:r>
    </w:p>
    <w:p w14:paraId="30A9FD06" w14:textId="6A7E2488" w:rsidR="00CA3C08" w:rsidRDefault="005000B6" w:rsidP="000A0EA4">
      <w:r>
        <w:t>Coders should be encouraged and empowered to focus on the quality of coding, not just productivity.</w:t>
      </w:r>
      <w:r w:rsidR="00612A3E">
        <w:t xml:space="preserve"> </w:t>
      </w:r>
      <w:r>
        <w:t>It is important to take the time to ensure that the coded record is an accurate representation of the patient’s clinical condition and treatment. Clinical documentation specialists and coders should make careful queries to providers to clarify documentation when needed.</w:t>
      </w:r>
      <w:r w:rsidR="00612A3E">
        <w:t xml:space="preserve"> </w:t>
      </w:r>
      <w:r>
        <w:t xml:space="preserve">Hospitals have found that the following issues have been sources of coding errors: </w:t>
      </w:r>
    </w:p>
    <w:p w14:paraId="30A9FD07" w14:textId="0234EB46" w:rsidR="00CA3C08" w:rsidRDefault="005000B6" w:rsidP="000A0EA4">
      <w:pPr>
        <w:pStyle w:val="ListBullet2"/>
      </w:pPr>
      <w:r>
        <w:t>Incomplete or inadequate provider documentation</w:t>
      </w:r>
      <w:r w:rsidR="00B50354">
        <w:t>.</w:t>
      </w:r>
      <w:r w:rsidR="00612A3E">
        <w:t xml:space="preserve"> </w:t>
      </w:r>
    </w:p>
    <w:p w14:paraId="30A9FD08" w14:textId="77777777" w:rsidR="00CA3C08" w:rsidRDefault="005000B6" w:rsidP="000A0EA4">
      <w:pPr>
        <w:pStyle w:val="ListBullet2"/>
      </w:pPr>
      <w:r>
        <w:t xml:space="preserve">Incorrect principal diagnosis selection, such as: </w:t>
      </w:r>
    </w:p>
    <w:p w14:paraId="30A9FD09" w14:textId="77777777" w:rsidR="00CA3C08" w:rsidRDefault="005000B6" w:rsidP="000A0EA4">
      <w:pPr>
        <w:pStyle w:val="ListBullet3"/>
      </w:pPr>
      <w:r>
        <w:t>Coding a condition when a complication code should have been used</w:t>
      </w:r>
      <w:r w:rsidR="00B50354">
        <w:t>.</w:t>
      </w:r>
      <w:r>
        <w:t xml:space="preserve"> </w:t>
      </w:r>
    </w:p>
    <w:p w14:paraId="30A9FD0A" w14:textId="77777777" w:rsidR="00CA3C08" w:rsidRDefault="005000B6" w:rsidP="000A0EA4">
      <w:pPr>
        <w:pStyle w:val="ListBullet3"/>
      </w:pPr>
      <w:r>
        <w:t>Coding a symptom or sign rather than a diagnosis</w:t>
      </w:r>
      <w:r w:rsidR="00B50354">
        <w:t>.</w:t>
      </w:r>
      <w:r>
        <w:t xml:space="preserve"> </w:t>
      </w:r>
    </w:p>
    <w:p w14:paraId="30A9FD0B" w14:textId="77777777" w:rsidR="00CA3C08" w:rsidRDefault="005000B6" w:rsidP="000A0EA4">
      <w:pPr>
        <w:pStyle w:val="ListBullet3"/>
      </w:pPr>
      <w:r>
        <w:t>Assuming a diagnosis without definitive documentation of a condition</w:t>
      </w:r>
      <w:r w:rsidR="00B50354">
        <w:t>.</w:t>
      </w:r>
      <w:r>
        <w:t xml:space="preserve"> </w:t>
      </w:r>
    </w:p>
    <w:p w14:paraId="30A9FD0C" w14:textId="77777777" w:rsidR="00CA3C08" w:rsidRDefault="005000B6" w:rsidP="000A0EA4">
      <w:pPr>
        <w:pStyle w:val="ListBullet3"/>
      </w:pPr>
      <w:r>
        <w:t>Coding only from the discharge summary and not the complete medical record</w:t>
      </w:r>
      <w:r w:rsidR="00B50354">
        <w:t>.</w:t>
      </w:r>
      <w:r>
        <w:t xml:space="preserve"> </w:t>
      </w:r>
    </w:p>
    <w:p w14:paraId="30A9FD0D" w14:textId="77777777" w:rsidR="00CA3C08" w:rsidRDefault="005000B6" w:rsidP="000A0EA4">
      <w:pPr>
        <w:pStyle w:val="ListBullet3"/>
      </w:pPr>
      <w:r>
        <w:t xml:space="preserve">Incorrectly applying the coding guidelines for principal diagnosis, especially when two or more diagnoses equally meet the definition of principal diagnosis. </w:t>
      </w:r>
    </w:p>
    <w:p w14:paraId="30A9FD0E" w14:textId="77777777" w:rsidR="00CA3C08" w:rsidRDefault="005000B6" w:rsidP="000A0EA4">
      <w:pPr>
        <w:pStyle w:val="ListBullet2"/>
      </w:pPr>
      <w:r>
        <w:t>Incorrect or missing comorbidities or complications</w:t>
      </w:r>
      <w:r w:rsidR="00B50354">
        <w:t>.</w:t>
      </w:r>
    </w:p>
    <w:p w14:paraId="30A9FD0F" w14:textId="77777777" w:rsidR="00CA3C08" w:rsidRDefault="008968B6" w:rsidP="000A0EA4">
      <w:pPr>
        <w:pStyle w:val="ListBullet2"/>
      </w:pPr>
      <w:r>
        <w:t xml:space="preserve">Incorrect </w:t>
      </w:r>
      <w:r w:rsidR="00B50354">
        <w:t>p</w:t>
      </w:r>
      <w:r>
        <w:t xml:space="preserve">resent on </w:t>
      </w:r>
      <w:r w:rsidR="00B50354">
        <w:t>a</w:t>
      </w:r>
      <w:r>
        <w:t xml:space="preserve">dmission </w:t>
      </w:r>
      <w:r w:rsidR="00B50354">
        <w:t xml:space="preserve">(POA) </w:t>
      </w:r>
      <w:r>
        <w:t>assignment</w:t>
      </w:r>
      <w:r w:rsidR="00B50354">
        <w:t>.</w:t>
      </w:r>
    </w:p>
    <w:p w14:paraId="30A9FD10" w14:textId="77777777" w:rsidR="00CA3C08" w:rsidRDefault="00B50354" w:rsidP="000A0EA4">
      <w:pPr>
        <w:pStyle w:val="ListBullet2"/>
      </w:pPr>
      <w:r>
        <w:t>Limitation of c</w:t>
      </w:r>
      <w:r w:rsidR="005000B6">
        <w:t xml:space="preserve">oding to the </w:t>
      </w:r>
      <w:r>
        <w:t>Medicare Severity diagnosis-related group (</w:t>
      </w:r>
      <w:r w:rsidR="005000B6">
        <w:t>MS-DRG</w:t>
      </w:r>
      <w:r>
        <w:t>)</w:t>
      </w:r>
      <w:r w:rsidR="005000B6">
        <w:t xml:space="preserve"> (i.e., not coding the full record because reimbursement will not change with additional codes)</w:t>
      </w:r>
      <w:r>
        <w:t>.</w:t>
      </w:r>
      <w:r w:rsidR="005000B6">
        <w:t xml:space="preserve"> </w:t>
      </w:r>
    </w:p>
    <w:p w14:paraId="30A9FD11" w14:textId="77777777" w:rsidR="00CA3C08" w:rsidRDefault="005000B6" w:rsidP="000A0EA4">
      <w:pPr>
        <w:pStyle w:val="ListBullet2"/>
      </w:pPr>
      <w:r>
        <w:t>Incorrect MS-DRG assignment</w:t>
      </w:r>
      <w:r w:rsidR="00B50354">
        <w:t>.</w:t>
      </w:r>
      <w:r>
        <w:t xml:space="preserve"> </w:t>
      </w:r>
    </w:p>
    <w:p w14:paraId="30A9FD12" w14:textId="77777777" w:rsidR="00CA3C08" w:rsidRDefault="005000B6" w:rsidP="000A0EA4">
      <w:pPr>
        <w:pStyle w:val="ListBullet2"/>
      </w:pPr>
      <w:r>
        <w:t>Encoder errors or incorrect encoder pathway</w:t>
      </w:r>
      <w:r w:rsidR="00B50354">
        <w:t>.</w:t>
      </w:r>
      <w:r>
        <w:t xml:space="preserve"> </w:t>
      </w:r>
    </w:p>
    <w:p w14:paraId="30A9FD13" w14:textId="77777777" w:rsidR="00CA3C08" w:rsidRDefault="005000B6" w:rsidP="000A0EA4">
      <w:pPr>
        <w:pStyle w:val="ListBullet2"/>
      </w:pPr>
      <w:r>
        <w:t>Incorrect memorization of diagnosis and procedure codes</w:t>
      </w:r>
      <w:r w:rsidR="00B50354">
        <w:t>.</w:t>
      </w:r>
      <w:r>
        <w:t xml:space="preserve"> </w:t>
      </w:r>
    </w:p>
    <w:p w14:paraId="30A9FD14" w14:textId="77777777" w:rsidR="00CA3C08" w:rsidRDefault="005000B6" w:rsidP="000A0EA4">
      <w:pPr>
        <w:pStyle w:val="Heading2"/>
      </w:pPr>
      <w:r>
        <w:t>Query Process</w:t>
      </w:r>
    </w:p>
    <w:p w14:paraId="30A9FD15" w14:textId="4CB12EAD" w:rsidR="005000B6" w:rsidRDefault="005000B6" w:rsidP="00C05443">
      <w:r>
        <w:t xml:space="preserve">Queries may be generated whenever the medical record lacks </w:t>
      </w:r>
      <w:proofErr w:type="spellStart"/>
      <w:r>
        <w:t>codable</w:t>
      </w:r>
      <w:proofErr w:type="spellEnd"/>
      <w:r>
        <w:t xml:space="preserve"> documentation or information is missing, conflicting, ambiguous, or illegible.</w:t>
      </w:r>
      <w:r w:rsidR="00612A3E">
        <w:t xml:space="preserve"> </w:t>
      </w:r>
      <w:r>
        <w:t xml:space="preserve">It is important to have a well-defined query process to ensure that your clinical documentation specialists and coders can effectively obtain </w:t>
      </w:r>
      <w:r w:rsidR="00B50354">
        <w:t xml:space="preserve">needed </w:t>
      </w:r>
      <w:r>
        <w:t xml:space="preserve">information without leading the provider and </w:t>
      </w:r>
      <w:proofErr w:type="spellStart"/>
      <w:r>
        <w:t>upcoding</w:t>
      </w:r>
      <w:proofErr w:type="spellEnd"/>
      <w:r>
        <w:t xml:space="preserve"> the information.</w:t>
      </w:r>
      <w:r w:rsidR="00612A3E">
        <w:t xml:space="preserve"> </w:t>
      </w:r>
      <w:r w:rsidR="00E27FB2">
        <w:t>A sample query form is provided below that might be used in that process.</w:t>
      </w:r>
      <w:r w:rsidR="00612A3E">
        <w:t xml:space="preserve"> </w:t>
      </w:r>
      <w:r>
        <w:t xml:space="preserve">Hospitals may choose to </w:t>
      </w:r>
      <w:r w:rsidR="00B50354">
        <w:t>form</w:t>
      </w:r>
      <w:r>
        <w:t xml:space="preserve"> a </w:t>
      </w:r>
      <w:r w:rsidR="00B50354">
        <w:t>CDI</w:t>
      </w:r>
      <w:r>
        <w:t xml:space="preserve"> team consisting of trained nurses and other specialists </w:t>
      </w:r>
      <w:r w:rsidR="00D3029E">
        <w:t>that</w:t>
      </w:r>
      <w:r>
        <w:t xml:space="preserve"> concurrently review</w:t>
      </w:r>
      <w:r w:rsidR="00D3029E">
        <w:t>s</w:t>
      </w:r>
      <w:r>
        <w:t xml:space="preserve"> charts and quer</w:t>
      </w:r>
      <w:r w:rsidR="00B50354">
        <w:t>ies</w:t>
      </w:r>
      <w:r>
        <w:t xml:space="preserve"> providers to clarify docum</w:t>
      </w:r>
      <w:r w:rsidR="00C2085F">
        <w:t xml:space="preserve">entation prior to discharge. </w:t>
      </w:r>
    </w:p>
    <w:p w14:paraId="30A9FD16" w14:textId="5A0F0298" w:rsidR="005000B6" w:rsidRDefault="005000B6" w:rsidP="00C05443">
      <w:r>
        <w:lastRenderedPageBreak/>
        <w:t>Although coders usually cannot use documentation from nurses and allied health professionals, their notes often provide clues to issues that the physician may have failed to document.</w:t>
      </w:r>
      <w:r w:rsidR="00612A3E">
        <w:t xml:space="preserve"> </w:t>
      </w:r>
      <w:r>
        <w:t>Hospitals should consider coordinating nurses’ notes with provider documentation, especially for PSIs for which nurses’ notes are known to be a good source of information (e.g., pressure ulcers).</w:t>
      </w:r>
      <w:r w:rsidR="00612A3E">
        <w:t xml:space="preserve"> </w:t>
      </w:r>
    </w:p>
    <w:p w14:paraId="30A9FD17" w14:textId="77777777" w:rsidR="00761675" w:rsidRDefault="00761675" w:rsidP="00C05443"/>
    <w:p w14:paraId="30A9FD18" w14:textId="77777777" w:rsidR="00761675" w:rsidRPr="00761675" w:rsidRDefault="00761675" w:rsidP="00FE1C85">
      <w:pPr>
        <w:pBdr>
          <w:top w:val="single" w:sz="4" w:space="1" w:color="auto"/>
          <w:left w:val="single" w:sz="4" w:space="4" w:color="auto"/>
          <w:bottom w:val="single" w:sz="4" w:space="1" w:color="auto"/>
          <w:right w:val="single" w:sz="4" w:space="4" w:color="auto"/>
        </w:pBdr>
        <w:ind w:left="360" w:right="360"/>
        <w:jc w:val="center"/>
        <w:rPr>
          <w:b/>
        </w:rPr>
      </w:pPr>
      <w:r w:rsidRPr="00761675">
        <w:rPr>
          <w:b/>
        </w:rPr>
        <w:t>SAMPLE QUERY FORM</w:t>
      </w:r>
    </w:p>
    <w:p w14:paraId="30A9FD19" w14:textId="77777777" w:rsidR="00761675" w:rsidRDefault="00761675" w:rsidP="00FE1C85">
      <w:pPr>
        <w:pBdr>
          <w:top w:val="single" w:sz="4" w:space="1" w:color="auto"/>
          <w:left w:val="single" w:sz="4" w:space="4" w:color="auto"/>
          <w:bottom w:val="single" w:sz="4" w:space="1" w:color="auto"/>
          <w:right w:val="single" w:sz="4" w:space="4" w:color="auto"/>
        </w:pBdr>
        <w:spacing w:after="0"/>
        <w:ind w:left="360" w:right="360"/>
      </w:pPr>
      <w:r>
        <w:t>Patient Name:</w:t>
      </w:r>
    </w:p>
    <w:p w14:paraId="30A9FD1A" w14:textId="77777777" w:rsidR="00761675" w:rsidRDefault="00761675" w:rsidP="00FE1C85">
      <w:pPr>
        <w:pBdr>
          <w:top w:val="single" w:sz="4" w:space="1" w:color="auto"/>
          <w:left w:val="single" w:sz="4" w:space="4" w:color="auto"/>
          <w:bottom w:val="single" w:sz="4" w:space="1" w:color="auto"/>
          <w:right w:val="single" w:sz="4" w:space="4" w:color="auto"/>
        </w:pBdr>
        <w:spacing w:after="0"/>
        <w:ind w:left="360" w:right="360"/>
      </w:pPr>
      <w:r>
        <w:t>MR#</w:t>
      </w:r>
    </w:p>
    <w:p w14:paraId="30A9FD1B" w14:textId="77777777" w:rsidR="00761675" w:rsidRDefault="00761675" w:rsidP="00FE1C85">
      <w:pPr>
        <w:pBdr>
          <w:top w:val="single" w:sz="4" w:space="1" w:color="auto"/>
          <w:left w:val="single" w:sz="4" w:space="4" w:color="auto"/>
          <w:bottom w:val="single" w:sz="4" w:space="1" w:color="auto"/>
          <w:right w:val="single" w:sz="4" w:space="4" w:color="auto"/>
        </w:pBdr>
        <w:spacing w:after="0"/>
        <w:ind w:left="360" w:right="360"/>
      </w:pPr>
      <w:r>
        <w:t>Date of Hospital Stay:</w:t>
      </w:r>
    </w:p>
    <w:p w14:paraId="30A9FD1C" w14:textId="77777777" w:rsidR="00761675" w:rsidRDefault="00761675" w:rsidP="00FE1C85">
      <w:pPr>
        <w:pBdr>
          <w:top w:val="single" w:sz="4" w:space="1" w:color="auto"/>
          <w:left w:val="single" w:sz="4" w:space="4" w:color="auto"/>
          <w:bottom w:val="single" w:sz="4" w:space="1" w:color="auto"/>
          <w:right w:val="single" w:sz="4" w:space="4" w:color="auto"/>
        </w:pBdr>
        <w:ind w:left="360" w:right="360"/>
      </w:pPr>
      <w:r>
        <w:t>RE: Documentation Clarification</w:t>
      </w:r>
    </w:p>
    <w:p w14:paraId="30A9FD1D" w14:textId="0BEC404F" w:rsidR="00761675" w:rsidRDefault="00761675" w:rsidP="00FE1C85">
      <w:pPr>
        <w:pBdr>
          <w:top w:val="single" w:sz="4" w:space="1" w:color="auto"/>
          <w:left w:val="single" w:sz="4" w:space="4" w:color="auto"/>
          <w:bottom w:val="single" w:sz="4" w:space="1" w:color="auto"/>
          <w:right w:val="single" w:sz="4" w:space="4" w:color="auto"/>
        </w:pBdr>
        <w:ind w:left="360" w:right="360"/>
      </w:pPr>
      <w:r>
        <w:t>Dr</w:t>
      </w:r>
      <w:proofErr w:type="gramStart"/>
      <w:r>
        <w:t>.</w:t>
      </w:r>
      <w:r w:rsidR="00612A3E">
        <w:t xml:space="preserve"> </w:t>
      </w:r>
      <w:r>
        <w:t>:</w:t>
      </w:r>
      <w:proofErr w:type="gramEnd"/>
    </w:p>
    <w:p w14:paraId="30A9FD1E" w14:textId="2273CCC7" w:rsidR="00761675" w:rsidRDefault="00761675" w:rsidP="00FE1C85">
      <w:pPr>
        <w:pBdr>
          <w:top w:val="single" w:sz="4" w:space="1" w:color="auto"/>
          <w:left w:val="single" w:sz="4" w:space="4" w:color="auto"/>
          <w:bottom w:val="single" w:sz="4" w:space="1" w:color="auto"/>
          <w:right w:val="single" w:sz="4" w:space="4" w:color="auto"/>
        </w:pBdr>
        <w:ind w:left="360" w:right="360"/>
      </w:pPr>
      <w:r>
        <w:t>I am in the process of reviewing this chart for coding.</w:t>
      </w:r>
      <w:r w:rsidR="00612A3E">
        <w:t xml:space="preserve"> </w:t>
      </w:r>
      <w:r>
        <w:t>While reviewing the record, I noted on the operative report</w:t>
      </w:r>
      <w:r w:rsidR="00FE1C85">
        <w:t xml:space="preserve"> that no complication was noted in the dictated discharge summary</w:t>
      </w:r>
      <w:r>
        <w:t xml:space="preserve">. </w:t>
      </w:r>
    </w:p>
    <w:p w14:paraId="30A9FD1F" w14:textId="082C9C62" w:rsidR="00761675" w:rsidRDefault="00761675" w:rsidP="00FE1C85">
      <w:pPr>
        <w:pBdr>
          <w:top w:val="single" w:sz="4" w:space="1" w:color="auto"/>
          <w:left w:val="single" w:sz="4" w:space="4" w:color="auto"/>
          <w:bottom w:val="single" w:sz="4" w:space="1" w:color="auto"/>
          <w:right w:val="single" w:sz="4" w:space="4" w:color="auto"/>
        </w:pBdr>
        <w:ind w:left="360" w:right="360"/>
      </w:pPr>
      <w:r>
        <w:t>Was the _____________</w:t>
      </w:r>
      <w:r w:rsidR="00FE1C85">
        <w:t>_____________</w:t>
      </w:r>
      <w:r w:rsidR="00612A3E">
        <w:t xml:space="preserve"> </w:t>
      </w:r>
    </w:p>
    <w:p w14:paraId="30A9FD20" w14:textId="0AA672C2" w:rsidR="00761675" w:rsidRDefault="00612A3E" w:rsidP="00FE1C85">
      <w:pPr>
        <w:pBdr>
          <w:top w:val="single" w:sz="4" w:space="1" w:color="auto"/>
          <w:left w:val="single" w:sz="4" w:space="4" w:color="auto"/>
          <w:bottom w:val="single" w:sz="4" w:space="1" w:color="auto"/>
          <w:right w:val="single" w:sz="4" w:space="4" w:color="auto"/>
        </w:pBdr>
        <w:ind w:left="360" w:right="360"/>
      </w:pPr>
      <w:r>
        <w:t xml:space="preserve"> </w:t>
      </w:r>
      <w:r w:rsidR="00FE1C85">
        <w:t>[</w:t>
      </w:r>
      <w:r>
        <w:t xml:space="preserve"> </w:t>
      </w:r>
      <w:r w:rsidR="00FE1C85">
        <w:t>]</w:t>
      </w:r>
      <w:r>
        <w:t xml:space="preserve"> </w:t>
      </w:r>
      <w:r w:rsidR="00761675">
        <w:t xml:space="preserve">an incidental occurrence inherent to the surgical procedure or </w:t>
      </w:r>
    </w:p>
    <w:p w14:paraId="30A9FD21" w14:textId="7B41609E" w:rsidR="00761675" w:rsidRDefault="00612A3E" w:rsidP="00FE1C85">
      <w:pPr>
        <w:pBdr>
          <w:top w:val="single" w:sz="4" w:space="1" w:color="auto"/>
          <w:left w:val="single" w:sz="4" w:space="4" w:color="auto"/>
          <w:bottom w:val="single" w:sz="4" w:space="1" w:color="auto"/>
          <w:right w:val="single" w:sz="4" w:space="4" w:color="auto"/>
        </w:pBdr>
        <w:ind w:left="360" w:right="360"/>
      </w:pPr>
      <w:r>
        <w:t xml:space="preserve"> </w:t>
      </w:r>
      <w:proofErr w:type="gramStart"/>
      <w:r w:rsidR="00FE1C85">
        <w:t>[</w:t>
      </w:r>
      <w:r>
        <w:t xml:space="preserve"> </w:t>
      </w:r>
      <w:r w:rsidR="00FE1C85">
        <w:t>]</w:t>
      </w:r>
      <w:r>
        <w:t xml:space="preserve"> </w:t>
      </w:r>
      <w:r w:rsidR="00761675">
        <w:t>a complication of the procedure?</w:t>
      </w:r>
      <w:proofErr w:type="gramEnd"/>
      <w:r>
        <w:t xml:space="preserve"> </w:t>
      </w:r>
    </w:p>
    <w:p w14:paraId="30A9FD22" w14:textId="4C98F705" w:rsidR="00761675" w:rsidRDefault="00761675" w:rsidP="00FE1C85">
      <w:pPr>
        <w:pBdr>
          <w:top w:val="single" w:sz="4" w:space="1" w:color="auto"/>
          <w:left w:val="single" w:sz="4" w:space="4" w:color="auto"/>
          <w:bottom w:val="single" w:sz="4" w:space="1" w:color="auto"/>
          <w:right w:val="single" w:sz="4" w:space="4" w:color="auto"/>
        </w:pBdr>
        <w:ind w:left="360" w:right="360"/>
      </w:pPr>
      <w:r>
        <w:t xml:space="preserve">Could you </w:t>
      </w:r>
      <w:r w:rsidR="00FE1C85">
        <w:t xml:space="preserve">please </w:t>
      </w:r>
      <w:r>
        <w:t>respond by ___________________?</w:t>
      </w:r>
      <w:r w:rsidR="00612A3E">
        <w:t xml:space="preserve"> </w:t>
      </w:r>
      <w:r>
        <w:t>Thank you so much for your assistance in getting the medical record accurately coded.</w:t>
      </w:r>
    </w:p>
    <w:p w14:paraId="30A9FD23" w14:textId="77777777" w:rsidR="00761675" w:rsidRDefault="00761675" w:rsidP="00FE1C85">
      <w:pPr>
        <w:pBdr>
          <w:top w:val="single" w:sz="4" w:space="1" w:color="auto"/>
          <w:left w:val="single" w:sz="4" w:space="4" w:color="auto"/>
          <w:bottom w:val="single" w:sz="4" w:space="1" w:color="auto"/>
          <w:right w:val="single" w:sz="4" w:space="4" w:color="auto"/>
        </w:pBdr>
        <w:spacing w:after="0"/>
        <w:ind w:left="360" w:right="360"/>
        <w:rPr>
          <w:b/>
        </w:rPr>
      </w:pPr>
      <w:r w:rsidRPr="008D3A86">
        <w:rPr>
          <w:b/>
        </w:rPr>
        <w:t>This query and your response will become part of the patient’s legal medical record and is to be considered an extension of the progress note.</w:t>
      </w:r>
    </w:p>
    <w:p w14:paraId="30A9FD24" w14:textId="77777777" w:rsidR="00FE1C85" w:rsidRPr="008D3A86" w:rsidRDefault="00FE1C85" w:rsidP="00FE1C85">
      <w:pPr>
        <w:pBdr>
          <w:top w:val="single" w:sz="4" w:space="1" w:color="auto"/>
          <w:left w:val="single" w:sz="4" w:space="4" w:color="auto"/>
          <w:bottom w:val="single" w:sz="4" w:space="1" w:color="auto"/>
          <w:right w:val="single" w:sz="4" w:space="4" w:color="auto"/>
        </w:pBdr>
        <w:ind w:left="360" w:right="360"/>
        <w:rPr>
          <w:b/>
        </w:rPr>
      </w:pPr>
    </w:p>
    <w:p w14:paraId="30A9FD25" w14:textId="77777777" w:rsidR="00761675" w:rsidRDefault="00761675" w:rsidP="00C05443"/>
    <w:p w14:paraId="30A9FD26" w14:textId="77777777" w:rsidR="00CA5D7D" w:rsidRPr="00CA5D7D" w:rsidRDefault="005000B6" w:rsidP="00CA5D7D">
      <w:pPr>
        <w:pStyle w:val="Heading2"/>
      </w:pPr>
      <w:r w:rsidRPr="00912E1E">
        <w:t>Clinical Documentation Improvement</w:t>
      </w:r>
    </w:p>
    <w:p w14:paraId="30A9FD27" w14:textId="77777777" w:rsidR="005000B6" w:rsidRDefault="005000B6" w:rsidP="00C9327A">
      <w:pPr>
        <w:spacing w:after="0"/>
      </w:pPr>
      <w:r>
        <w:t xml:space="preserve">Many hospitals have implemented a </w:t>
      </w:r>
      <w:r w:rsidR="008824A5">
        <w:t>CDI</w:t>
      </w:r>
      <w:r>
        <w:t xml:space="preserve"> program to successfully enhance the quality of clinical data. The essential steps for achieving </w:t>
      </w:r>
      <w:r w:rsidRPr="007A0676">
        <w:t>a</w:t>
      </w:r>
      <w:r>
        <w:t xml:space="preserve">n effective CDI program are described in the </w:t>
      </w:r>
      <w:r w:rsidRPr="004A40F9">
        <w:rPr>
          <w:i/>
          <w:iCs/>
        </w:rPr>
        <w:t>UHC Clinical Documentation Challenges 2009 Field Book</w:t>
      </w:r>
      <w:r w:rsidR="00780410" w:rsidRPr="000A0EA4">
        <w:t>:</w:t>
      </w:r>
    </w:p>
    <w:p w14:paraId="30A9FD28" w14:textId="77777777" w:rsidR="00CA3C08" w:rsidRDefault="005000B6" w:rsidP="000A0EA4">
      <w:pPr>
        <w:pStyle w:val="ListBullet2"/>
      </w:pPr>
      <w:r>
        <w:t>Hire and train e</w:t>
      </w:r>
      <w:r w:rsidRPr="007A0676">
        <w:t xml:space="preserve">xpert </w:t>
      </w:r>
      <w:r>
        <w:t xml:space="preserve">clinical documentation specialists </w:t>
      </w:r>
      <w:r w:rsidRPr="007A0676">
        <w:t>to conduct concurrent chart</w:t>
      </w:r>
      <w:r>
        <w:t xml:space="preserve"> </w:t>
      </w:r>
      <w:r w:rsidRPr="007A0676">
        <w:t xml:space="preserve">review </w:t>
      </w:r>
      <w:r>
        <w:t>an</w:t>
      </w:r>
      <w:r w:rsidRPr="007A0676">
        <w:t>d clarify</w:t>
      </w:r>
      <w:r>
        <w:t xml:space="preserve"> documentation before discharge.</w:t>
      </w:r>
    </w:p>
    <w:p w14:paraId="30A9FD29" w14:textId="77777777" w:rsidR="00CA3C08" w:rsidRDefault="005000B6" w:rsidP="000A0EA4">
      <w:pPr>
        <w:pStyle w:val="ListBullet2"/>
      </w:pPr>
      <w:r>
        <w:t xml:space="preserve">Educate providers </w:t>
      </w:r>
      <w:r w:rsidRPr="007A0676">
        <w:t>about</w:t>
      </w:r>
      <w:r>
        <w:t xml:space="preserve"> </w:t>
      </w:r>
      <w:r w:rsidRPr="007A0676">
        <w:t xml:space="preserve">the need to partner with CDI </w:t>
      </w:r>
      <w:r>
        <w:t xml:space="preserve">staff to ensure the accuracy of performance </w:t>
      </w:r>
      <w:r w:rsidRPr="007A0676">
        <w:t>data</w:t>
      </w:r>
      <w:r>
        <w:t>.</w:t>
      </w:r>
    </w:p>
    <w:p w14:paraId="30A9FD2A" w14:textId="77777777" w:rsidR="00CA3C08" w:rsidRDefault="005000B6" w:rsidP="000A0EA4">
      <w:pPr>
        <w:pStyle w:val="ListBullet2"/>
      </w:pPr>
      <w:r>
        <w:t>Implement p</w:t>
      </w:r>
      <w:r w:rsidRPr="007A0676">
        <w:t>ractices that support documentation</w:t>
      </w:r>
      <w:r>
        <w:t xml:space="preserve"> </w:t>
      </w:r>
      <w:r w:rsidRPr="007A0676">
        <w:t>improvement, such as a query process, education,</w:t>
      </w:r>
      <w:r>
        <w:t xml:space="preserve"> </w:t>
      </w:r>
      <w:r w:rsidRPr="007A0676">
        <w:t>tools and aids, and expert coding</w:t>
      </w:r>
      <w:r>
        <w:t>.</w:t>
      </w:r>
    </w:p>
    <w:p w14:paraId="30A9FD2B" w14:textId="77777777" w:rsidR="00CA3C08" w:rsidRDefault="005000B6" w:rsidP="000A0EA4">
      <w:pPr>
        <w:pStyle w:val="ListBullet2"/>
      </w:pPr>
      <w:r>
        <w:lastRenderedPageBreak/>
        <w:t xml:space="preserve">Hold </w:t>
      </w:r>
      <w:r w:rsidRPr="007A0676">
        <w:t>providers accountable for compliance</w:t>
      </w:r>
      <w:r>
        <w:t xml:space="preserve"> </w:t>
      </w:r>
      <w:r w:rsidRPr="007A0676">
        <w:t>with documentation requirements</w:t>
      </w:r>
      <w:r>
        <w:t xml:space="preserve"> (e.g., financial </w:t>
      </w:r>
      <w:r w:rsidRPr="007A0676">
        <w:t>incentives,</w:t>
      </w:r>
      <w:r>
        <w:t xml:space="preserve"> </w:t>
      </w:r>
      <w:proofErr w:type="spellStart"/>
      <w:r w:rsidRPr="007A0676">
        <w:t>recredentialing</w:t>
      </w:r>
      <w:proofErr w:type="spellEnd"/>
      <w:r>
        <w:t xml:space="preserve"> criteria</w:t>
      </w:r>
      <w:r w:rsidRPr="007A0676">
        <w:t>,</w:t>
      </w:r>
      <w:r>
        <w:t xml:space="preserve"> </w:t>
      </w:r>
      <w:r w:rsidRPr="007A0676">
        <w:t>suspension, and peer review</w:t>
      </w:r>
      <w:r>
        <w:t>)</w:t>
      </w:r>
      <w:r w:rsidR="008824A5">
        <w:t>.</w:t>
      </w:r>
      <w:r>
        <w:t xml:space="preserve"> </w:t>
      </w:r>
    </w:p>
    <w:p w14:paraId="30A9FD2C" w14:textId="77777777" w:rsidR="00CA3C08" w:rsidRDefault="005000B6" w:rsidP="000A0EA4">
      <w:pPr>
        <w:pStyle w:val="ListBullet2"/>
      </w:pPr>
      <w:r>
        <w:t>Benchmark documentation and coding p</w:t>
      </w:r>
      <w:r w:rsidRPr="007A0676">
        <w:t>erformance</w:t>
      </w:r>
      <w:r>
        <w:t xml:space="preserve"> </w:t>
      </w:r>
      <w:r w:rsidRPr="007A0676">
        <w:t xml:space="preserve">and </w:t>
      </w:r>
      <w:r>
        <w:t xml:space="preserve">communicate the </w:t>
      </w:r>
      <w:r w:rsidRPr="007A0676">
        <w:t>results</w:t>
      </w:r>
      <w:r>
        <w:t>.</w:t>
      </w:r>
    </w:p>
    <w:p w14:paraId="30A9FD2D" w14:textId="77777777" w:rsidR="00CA3C08" w:rsidRDefault="005000B6" w:rsidP="000A0EA4">
      <w:pPr>
        <w:pStyle w:val="ListBullet2"/>
      </w:pPr>
      <w:r>
        <w:t>Recognize and reward g</w:t>
      </w:r>
      <w:r w:rsidRPr="007A0676">
        <w:t>ood performance.</w:t>
      </w:r>
    </w:p>
    <w:p w14:paraId="30A9FD2E" w14:textId="51A0076A" w:rsidR="00C07994" w:rsidRDefault="00CC654D" w:rsidP="00C07994">
      <w:r>
        <w:t>Hospitals have successfully used a variety of structures for their CDI program, depending on their specific needs and cultures.</w:t>
      </w:r>
      <w:r w:rsidR="00612A3E">
        <w:t xml:space="preserve"> </w:t>
      </w:r>
      <w:r w:rsidR="005000B6" w:rsidRPr="00942368">
        <w:t>Some approaches that have been successfully used by CDI programs to promote comprehensive documentation and accurate data include</w:t>
      </w:r>
      <w:r w:rsidR="00A43E8E">
        <w:t xml:space="preserve"> (UHC, 2010)</w:t>
      </w:r>
      <w:r w:rsidR="005000B6" w:rsidRPr="00942368">
        <w:t xml:space="preserve">: </w:t>
      </w:r>
    </w:p>
    <w:p w14:paraId="30A9FD2F" w14:textId="77777777" w:rsidR="00CA3C08" w:rsidRDefault="00840F6D" w:rsidP="000A0EA4">
      <w:pPr>
        <w:pStyle w:val="ListBullet2"/>
        <w:rPr>
          <w:rFonts w:eastAsia="MS Mincho"/>
          <w:lang w:eastAsia="ja-JP"/>
        </w:rPr>
      </w:pPr>
      <w:r w:rsidRPr="00840F6D">
        <w:rPr>
          <w:rFonts w:eastAsia="MS Mincho"/>
          <w:lang w:eastAsia="ja-JP"/>
        </w:rPr>
        <w:t>Focus on units or services with poor performance data (e.g., elevated mortality index, high PSI rates)</w:t>
      </w:r>
      <w:r w:rsidR="00A43E8E">
        <w:rPr>
          <w:rFonts w:eastAsia="MS Mincho"/>
          <w:lang w:eastAsia="ja-JP"/>
        </w:rPr>
        <w:t>.</w:t>
      </w:r>
      <w:r w:rsidRPr="00840F6D">
        <w:rPr>
          <w:rFonts w:eastAsia="MS Mincho"/>
          <w:lang w:eastAsia="ja-JP"/>
        </w:rPr>
        <w:t xml:space="preserve"> </w:t>
      </w:r>
    </w:p>
    <w:p w14:paraId="30A9FD30" w14:textId="77777777" w:rsidR="00CA3C08" w:rsidRDefault="00840F6D" w:rsidP="000A0EA4">
      <w:pPr>
        <w:pStyle w:val="ListBullet2"/>
        <w:rPr>
          <w:rFonts w:eastAsia="MS Mincho"/>
          <w:lang w:eastAsia="ja-JP"/>
        </w:rPr>
      </w:pPr>
      <w:r w:rsidRPr="00840F6D">
        <w:rPr>
          <w:rFonts w:eastAsia="MS Mincho"/>
          <w:lang w:eastAsia="ja-JP"/>
        </w:rPr>
        <w:t xml:space="preserve">Track and communicate documentation query response rates by provider. </w:t>
      </w:r>
    </w:p>
    <w:p w14:paraId="30A9FD31" w14:textId="77777777" w:rsidR="00CA3C08" w:rsidRDefault="00840F6D" w:rsidP="000A0EA4">
      <w:pPr>
        <w:pStyle w:val="ListBullet2"/>
        <w:rPr>
          <w:rFonts w:eastAsia="MS Mincho"/>
          <w:lang w:eastAsia="ja-JP"/>
        </w:rPr>
      </w:pPr>
      <w:r w:rsidRPr="00840F6D">
        <w:rPr>
          <w:rFonts w:eastAsia="MS Mincho"/>
          <w:lang w:eastAsia="ja-JP"/>
        </w:rPr>
        <w:t>Implement user-friendly query response methods (</w:t>
      </w:r>
      <w:r w:rsidR="005000B6" w:rsidRPr="00942368">
        <w:rPr>
          <w:rFonts w:eastAsia="MS Mincho"/>
          <w:lang w:eastAsia="ja-JP"/>
        </w:rPr>
        <w:t>e.g.</w:t>
      </w:r>
      <w:r w:rsidRPr="00840F6D">
        <w:rPr>
          <w:rFonts w:eastAsia="MS Mincho"/>
          <w:lang w:eastAsia="ja-JP"/>
        </w:rPr>
        <w:t>, electronic queries linked to the medical record and documentation resources)</w:t>
      </w:r>
      <w:r w:rsidR="00A43E8E">
        <w:rPr>
          <w:rFonts w:eastAsia="MS Mincho"/>
          <w:lang w:eastAsia="ja-JP"/>
        </w:rPr>
        <w:t>.</w:t>
      </w:r>
    </w:p>
    <w:p w14:paraId="30A9FD32" w14:textId="77777777" w:rsidR="00CA3C08" w:rsidRDefault="00840F6D" w:rsidP="000A0EA4">
      <w:pPr>
        <w:pStyle w:val="ListBullet2"/>
      </w:pPr>
      <w:r w:rsidRPr="00840F6D">
        <w:rPr>
          <w:rFonts w:eastAsia="MS Mincho"/>
          <w:lang w:eastAsia="ja-JP"/>
        </w:rPr>
        <w:t xml:space="preserve">Query for secondary diagnoses, comorbidities, complications, and risk-adjustment factors </w:t>
      </w:r>
      <w:r w:rsidR="005000B6" w:rsidRPr="00942368">
        <w:t>even when the additional codes will not change reimbursement</w:t>
      </w:r>
      <w:r w:rsidR="005000B6">
        <w:t>.</w:t>
      </w:r>
    </w:p>
    <w:p w14:paraId="30A9FD33" w14:textId="77777777" w:rsidR="00CA3C08" w:rsidRDefault="005000B6" w:rsidP="000A0EA4">
      <w:pPr>
        <w:pStyle w:val="ListBullet2"/>
      </w:pPr>
      <w:r>
        <w:t xml:space="preserve">Review </w:t>
      </w:r>
      <w:r w:rsidR="008968B6">
        <w:t>all</w:t>
      </w:r>
      <w:r>
        <w:t xml:space="preserve"> deaths (e.g., patients </w:t>
      </w:r>
      <w:r w:rsidR="00A43E8E">
        <w:t>who</w:t>
      </w:r>
      <w:r>
        <w:t xml:space="preserve"> died with a low risk of mortality) to uncover improvement opportunities for documentation and coding and safe, high-quality clinical care. </w:t>
      </w:r>
    </w:p>
    <w:p w14:paraId="30A9FD34" w14:textId="77777777" w:rsidR="00C07994" w:rsidRDefault="00C07994" w:rsidP="00691A1A">
      <w:pPr>
        <w:ind w:left="630"/>
      </w:pPr>
    </w:p>
    <w:p w14:paraId="30A9FD35" w14:textId="77777777" w:rsidR="005000B6" w:rsidRDefault="005000B6" w:rsidP="00BA794E">
      <w:pPr>
        <w:pStyle w:val="Heading2"/>
      </w:pPr>
      <w:r>
        <w:t xml:space="preserve">Specific Strategies for Successful Documentation and Coding </w:t>
      </w:r>
    </w:p>
    <w:p w14:paraId="30A9FD36" w14:textId="2F1D3DAB" w:rsidR="005000B6" w:rsidRDefault="005000B6" w:rsidP="00CF709D">
      <w:r>
        <w:t xml:space="preserve">The following </w:t>
      </w:r>
      <w:proofErr w:type="gramStart"/>
      <w:r>
        <w:t>set of strategies to improve coding processes have</w:t>
      </w:r>
      <w:proofErr w:type="gramEnd"/>
      <w:r>
        <w:t xml:space="preserve"> been delineated (Ballantine, 2009; UHC, 2009):</w:t>
      </w:r>
      <w:r w:rsidR="00612A3E">
        <w:t xml:space="preserve"> </w:t>
      </w:r>
    </w:p>
    <w:p w14:paraId="30A9FD37" w14:textId="77777777" w:rsidR="00CA3C08" w:rsidRDefault="005000B6" w:rsidP="000A0EA4">
      <w:pPr>
        <w:pStyle w:val="ListBullet2"/>
        <w:spacing w:after="0"/>
      </w:pPr>
      <w:r w:rsidRPr="00BA794E">
        <w:t>Educational initiatives</w:t>
      </w:r>
      <w:r>
        <w:t xml:space="preserve"> for clinical documentation specialists and coders</w:t>
      </w:r>
      <w:r w:rsidR="00A43E8E">
        <w:t>:</w:t>
      </w:r>
    </w:p>
    <w:p w14:paraId="30A9FD38" w14:textId="77777777" w:rsidR="00CA3C08" w:rsidRDefault="005000B6" w:rsidP="000A0EA4">
      <w:pPr>
        <w:pStyle w:val="ListBullet3"/>
      </w:pPr>
      <w:r w:rsidRPr="00C05443">
        <w:t>Introductory didactic presentations</w:t>
      </w:r>
      <w:r w:rsidR="00CC654D" w:rsidRPr="00CC654D">
        <w:t xml:space="preserve"> </w:t>
      </w:r>
      <w:r w:rsidR="00CC654D">
        <w:t>on the PSIs and how their rates are calculated</w:t>
      </w:r>
      <w:r w:rsidR="00A43E8E">
        <w:t>.</w:t>
      </w:r>
    </w:p>
    <w:p w14:paraId="30A9FD39" w14:textId="77777777" w:rsidR="00CA3C08" w:rsidRDefault="005000B6" w:rsidP="000A0EA4">
      <w:pPr>
        <w:pStyle w:val="ListBullet3"/>
      </w:pPr>
      <w:r w:rsidRPr="00C05443">
        <w:t>Online tutorial: documentation</w:t>
      </w:r>
      <w:r>
        <w:t xml:space="preserve"> and coding</w:t>
      </w:r>
      <w:r w:rsidR="00A43E8E">
        <w:t>.</w:t>
      </w:r>
    </w:p>
    <w:p w14:paraId="30A9FD3A" w14:textId="77777777" w:rsidR="00CA3C08" w:rsidRDefault="005000B6" w:rsidP="000A0EA4">
      <w:pPr>
        <w:pStyle w:val="ListBullet3"/>
      </w:pPr>
      <w:r>
        <w:t>Periodic memos with coding tips (</w:t>
      </w:r>
      <w:r w:rsidR="00A43E8E">
        <w:t>“</w:t>
      </w:r>
      <w:r>
        <w:t>Tip of the Month</w:t>
      </w:r>
      <w:r w:rsidR="00A43E8E">
        <w:t>”</w:t>
      </w:r>
      <w:r>
        <w:t>)</w:t>
      </w:r>
      <w:r w:rsidR="00A43E8E">
        <w:t>.</w:t>
      </w:r>
    </w:p>
    <w:p w14:paraId="30A9FD3B" w14:textId="77777777" w:rsidR="00CA3C08" w:rsidRDefault="005000B6" w:rsidP="000A0EA4">
      <w:pPr>
        <w:pStyle w:val="ListBullet3"/>
      </w:pPr>
      <w:r>
        <w:t>Comprehensive online references and coding tips</w:t>
      </w:r>
      <w:r w:rsidR="00A43E8E">
        <w:t>.</w:t>
      </w:r>
      <w:r>
        <w:t xml:space="preserve"> </w:t>
      </w:r>
    </w:p>
    <w:p w14:paraId="30A9FD3C" w14:textId="77777777" w:rsidR="00CA3C08" w:rsidRDefault="005000B6" w:rsidP="000A0EA4">
      <w:pPr>
        <w:pStyle w:val="ListBullet3"/>
      </w:pPr>
      <w:r>
        <w:t>Posters, announcements, and branding</w:t>
      </w:r>
      <w:r w:rsidR="00A43E8E">
        <w:t>.</w:t>
      </w:r>
    </w:p>
    <w:p w14:paraId="30A9FD3D" w14:textId="77777777" w:rsidR="00CA3C08" w:rsidRDefault="008968B6" w:rsidP="000A0EA4">
      <w:pPr>
        <w:pStyle w:val="ListBullet2"/>
        <w:spacing w:after="0"/>
      </w:pPr>
      <w:r>
        <w:t>Provider</w:t>
      </w:r>
      <w:r w:rsidR="005000B6" w:rsidRPr="00BA794E">
        <w:t xml:space="preserve"> support services</w:t>
      </w:r>
      <w:r w:rsidR="00A43E8E">
        <w:t>:</w:t>
      </w:r>
    </w:p>
    <w:p w14:paraId="30A9FD3E" w14:textId="77777777" w:rsidR="00CA3C08" w:rsidRDefault="00C2085F" w:rsidP="000A0EA4">
      <w:pPr>
        <w:pStyle w:val="ListBullet3"/>
      </w:pPr>
      <w:r>
        <w:t>Introductory didactic presentations on the PSIs and how their rates are calculated</w:t>
      </w:r>
      <w:r w:rsidR="00A43E8E">
        <w:t>.</w:t>
      </w:r>
    </w:p>
    <w:p w14:paraId="30A9FD3F" w14:textId="77777777" w:rsidR="00CA3C08" w:rsidRDefault="00C2085F" w:rsidP="000A0EA4">
      <w:pPr>
        <w:pStyle w:val="ListBullet3"/>
      </w:pPr>
      <w:r>
        <w:t xml:space="preserve">Training on documentation and coding </w:t>
      </w:r>
      <w:r w:rsidR="007D2ED0">
        <w:t xml:space="preserve">and how </w:t>
      </w:r>
      <w:r w:rsidR="00A43E8E">
        <w:t>they</w:t>
      </w:r>
      <w:r w:rsidR="007D2ED0">
        <w:t xml:space="preserve"> </w:t>
      </w:r>
      <w:r w:rsidR="00691A1A">
        <w:t>can affect</w:t>
      </w:r>
      <w:r>
        <w:t xml:space="preserve"> the hospital</w:t>
      </w:r>
      <w:r w:rsidR="00A43E8E">
        <w:t>.</w:t>
      </w:r>
    </w:p>
    <w:p w14:paraId="30A9FD40" w14:textId="77777777" w:rsidR="00CA3C08" w:rsidRDefault="005000B6" w:rsidP="000A0EA4">
      <w:pPr>
        <w:pStyle w:val="ListBullet3"/>
      </w:pPr>
      <w:r>
        <w:t>Intranet</w:t>
      </w:r>
      <w:r w:rsidRPr="00C05443">
        <w:t xml:space="preserve"> site </w:t>
      </w:r>
      <w:r>
        <w:t xml:space="preserve">with </w:t>
      </w:r>
      <w:r w:rsidRPr="00C05443">
        <w:t>reference</w:t>
      </w:r>
      <w:r>
        <w:t>s</w:t>
      </w:r>
      <w:r w:rsidRPr="00C05443">
        <w:t xml:space="preserve"> </w:t>
      </w:r>
      <w:r>
        <w:t>and</w:t>
      </w:r>
      <w:r w:rsidRPr="00C05443">
        <w:t xml:space="preserve"> </w:t>
      </w:r>
      <w:r w:rsidR="00A43E8E">
        <w:t>frequently asked questions.</w:t>
      </w:r>
    </w:p>
    <w:p w14:paraId="30A9FD41" w14:textId="77777777" w:rsidR="00CA3C08" w:rsidRDefault="005000B6" w:rsidP="000A0EA4">
      <w:pPr>
        <w:pStyle w:val="ListBullet3"/>
      </w:pPr>
      <w:r>
        <w:t>Clinical documentation improvement</w:t>
      </w:r>
      <w:r w:rsidRPr="00C05443">
        <w:t xml:space="preserve"> liaison</w:t>
      </w:r>
      <w:r>
        <w:t>s</w:t>
      </w:r>
      <w:r w:rsidR="00A43E8E">
        <w:t>.</w:t>
      </w:r>
    </w:p>
    <w:p w14:paraId="30A9FD42" w14:textId="77777777" w:rsidR="00CA3C08" w:rsidRDefault="005000B6" w:rsidP="000A0EA4">
      <w:pPr>
        <w:pStyle w:val="ListBullet3"/>
      </w:pPr>
      <w:r>
        <w:t>Electronic health record offering on-demand documentation assistance</w:t>
      </w:r>
      <w:r w:rsidR="00A43E8E">
        <w:t>.</w:t>
      </w:r>
    </w:p>
    <w:p w14:paraId="30A9FD43" w14:textId="77777777" w:rsidR="00CA3C08" w:rsidRDefault="005000B6" w:rsidP="000A0EA4">
      <w:pPr>
        <w:pStyle w:val="ListBullet3"/>
      </w:pPr>
      <w:r w:rsidRPr="00C05443">
        <w:t xml:space="preserve">Direct contact with </w:t>
      </w:r>
      <w:r>
        <w:t xml:space="preserve">clinical documentation </w:t>
      </w:r>
      <w:r w:rsidRPr="00C05443">
        <w:t>specialists</w:t>
      </w:r>
      <w:r>
        <w:t xml:space="preserve"> and coders</w:t>
      </w:r>
      <w:r w:rsidR="00A43E8E">
        <w:t>.</w:t>
      </w:r>
    </w:p>
    <w:p w14:paraId="30A9FD44" w14:textId="77777777" w:rsidR="00CA3C08" w:rsidRDefault="005000B6" w:rsidP="000A0EA4">
      <w:pPr>
        <w:pStyle w:val="ListBullet3"/>
      </w:pPr>
      <w:r>
        <w:t>F</w:t>
      </w:r>
      <w:r w:rsidRPr="00C05443">
        <w:t>eedback associated with</w:t>
      </w:r>
      <w:r>
        <w:t xml:space="preserve"> analysis of performance data and </w:t>
      </w:r>
      <w:r w:rsidRPr="00C05443">
        <w:t xml:space="preserve">query </w:t>
      </w:r>
      <w:r>
        <w:t>results</w:t>
      </w:r>
      <w:r w:rsidR="00A43E8E">
        <w:t>.</w:t>
      </w:r>
    </w:p>
    <w:p w14:paraId="30A9FD45" w14:textId="77777777" w:rsidR="00CA3C08" w:rsidRDefault="005000B6" w:rsidP="000A0EA4">
      <w:pPr>
        <w:pStyle w:val="ListBullet3"/>
      </w:pPr>
      <w:r w:rsidRPr="00C05443">
        <w:t>Physician champions</w:t>
      </w:r>
      <w:r>
        <w:t xml:space="preserve"> or dedicated physician documentation and coding specialists</w:t>
      </w:r>
      <w:r w:rsidR="00A43E8E">
        <w:t>.</w:t>
      </w:r>
    </w:p>
    <w:p w14:paraId="30A9FD46" w14:textId="77777777" w:rsidR="00CA3C08" w:rsidRDefault="008968B6" w:rsidP="000A0EA4">
      <w:pPr>
        <w:pStyle w:val="ListBullet2"/>
        <w:spacing w:after="0"/>
      </w:pPr>
      <w:r w:rsidRPr="008968B6">
        <w:t>Nursing support services</w:t>
      </w:r>
      <w:r w:rsidR="00A43E8E">
        <w:t>:</w:t>
      </w:r>
    </w:p>
    <w:p w14:paraId="30A9FD47" w14:textId="77777777" w:rsidR="00CA3C08" w:rsidRDefault="008968B6" w:rsidP="000A0EA4">
      <w:pPr>
        <w:pStyle w:val="ListBullet3"/>
      </w:pPr>
      <w:proofErr w:type="gramStart"/>
      <w:r>
        <w:t>E</w:t>
      </w:r>
      <w:r w:rsidRPr="008968B6">
        <w:t>ducat</w:t>
      </w:r>
      <w:r w:rsidR="00A43E8E">
        <w:t>ion</w:t>
      </w:r>
      <w:proofErr w:type="gramEnd"/>
      <w:r w:rsidRPr="008968B6">
        <w:t xml:space="preserve"> </w:t>
      </w:r>
      <w:r w:rsidR="00A43E8E">
        <w:t xml:space="preserve">for </w:t>
      </w:r>
      <w:r w:rsidRPr="008968B6">
        <w:t xml:space="preserve">nursing staff on what the PSIs are and on </w:t>
      </w:r>
      <w:r w:rsidR="00D92092">
        <w:t>ways they can help prevent them</w:t>
      </w:r>
      <w:r w:rsidR="00A43E8E">
        <w:t>.</w:t>
      </w:r>
      <w:r w:rsidRPr="008968B6">
        <w:t xml:space="preserve"> </w:t>
      </w:r>
    </w:p>
    <w:p w14:paraId="30A9FD48" w14:textId="40E3F0CC" w:rsidR="00CA3C08" w:rsidRDefault="008968B6" w:rsidP="000A0EA4">
      <w:pPr>
        <w:pStyle w:val="ListBullet3"/>
      </w:pPr>
      <w:r w:rsidRPr="008968B6">
        <w:lastRenderedPageBreak/>
        <w:t>Present</w:t>
      </w:r>
      <w:r w:rsidR="00A43E8E">
        <w:t>ation of</w:t>
      </w:r>
      <w:r w:rsidRPr="008968B6">
        <w:t xml:space="preserve"> a focus topic each month with suggestions to prevent patient safety </w:t>
      </w:r>
      <w:r w:rsidR="00D92092">
        <w:t>events</w:t>
      </w:r>
      <w:r w:rsidR="00A43E8E">
        <w:t>.</w:t>
      </w:r>
      <w:r w:rsidR="00612A3E">
        <w:t xml:space="preserve"> </w:t>
      </w:r>
    </w:p>
    <w:p w14:paraId="30A9FD49" w14:textId="77777777" w:rsidR="00CA3C08" w:rsidRDefault="00A43E8E" w:rsidP="000A0EA4">
      <w:pPr>
        <w:pStyle w:val="ListBullet3"/>
      </w:pPr>
      <w:r>
        <w:t>G</w:t>
      </w:r>
      <w:r w:rsidR="008968B6">
        <w:t>uidance on information to include in nursing notes</w:t>
      </w:r>
      <w:r w:rsidR="00D92092">
        <w:t>, for incorporation into provider records as appropriate, to document diagnoses, procedures, and related issues</w:t>
      </w:r>
      <w:r>
        <w:t>.</w:t>
      </w:r>
    </w:p>
    <w:p w14:paraId="30A9FD4A" w14:textId="77777777" w:rsidR="00CA3C08" w:rsidRDefault="00A43E8E" w:rsidP="000A0EA4">
      <w:pPr>
        <w:pStyle w:val="ListBullet2"/>
        <w:spacing w:after="0"/>
      </w:pPr>
      <w:r>
        <w:t>CDI</w:t>
      </w:r>
      <w:r w:rsidR="005000B6">
        <w:t xml:space="preserve"> team and c</w:t>
      </w:r>
      <w:r w:rsidR="005000B6" w:rsidRPr="00BA794E">
        <w:t>oding department changes</w:t>
      </w:r>
      <w:r>
        <w:t>:</w:t>
      </w:r>
    </w:p>
    <w:p w14:paraId="30A9FD4B" w14:textId="77777777" w:rsidR="00CA3C08" w:rsidRDefault="005000B6" w:rsidP="000A0EA4">
      <w:pPr>
        <w:pStyle w:val="ListBullet3"/>
      </w:pPr>
      <w:r>
        <w:t>Adequate staffing with expert CDI staff and coders</w:t>
      </w:r>
      <w:r w:rsidR="00A43E8E">
        <w:t>.</w:t>
      </w:r>
    </w:p>
    <w:p w14:paraId="30A9FD4C" w14:textId="77777777" w:rsidR="00CA3C08" w:rsidRDefault="005000B6" w:rsidP="000A0EA4">
      <w:pPr>
        <w:pStyle w:val="ListBullet3"/>
      </w:pPr>
      <w:r>
        <w:t>Ongoing training and education for CDI specialists and coders</w:t>
      </w:r>
      <w:r w:rsidR="00A43E8E">
        <w:t>.</w:t>
      </w:r>
    </w:p>
    <w:p w14:paraId="30A9FD4D" w14:textId="77777777" w:rsidR="00CA3C08" w:rsidRDefault="005000B6" w:rsidP="000A0EA4">
      <w:pPr>
        <w:pStyle w:val="ListBullet3"/>
      </w:pPr>
      <w:r>
        <w:t>Standing documentation and coding committee</w:t>
      </w:r>
      <w:r w:rsidR="00A43E8E">
        <w:t>.</w:t>
      </w:r>
    </w:p>
    <w:p w14:paraId="30A9FD4E" w14:textId="77777777" w:rsidR="00CA3C08" w:rsidRDefault="005000B6" w:rsidP="000A0EA4">
      <w:pPr>
        <w:pStyle w:val="ListBullet3"/>
      </w:pPr>
      <w:r>
        <w:t>Internal and external audits of documentation and coding accuracy</w:t>
      </w:r>
      <w:r w:rsidR="00A43E8E">
        <w:t>.</w:t>
      </w:r>
      <w:r>
        <w:t xml:space="preserve"> </w:t>
      </w:r>
    </w:p>
    <w:p w14:paraId="30A9FD4F" w14:textId="77777777" w:rsidR="005000B6" w:rsidRDefault="005000B6" w:rsidP="00681702">
      <w:pPr>
        <w:pStyle w:val="Heading2"/>
      </w:pPr>
      <w:r>
        <w:t>Training</w:t>
      </w:r>
    </w:p>
    <w:p w14:paraId="30A9FD50" w14:textId="38707A65" w:rsidR="005000B6" w:rsidRDefault="005000B6" w:rsidP="00C05443">
      <w:r w:rsidRPr="00BD4E48">
        <w:t>Training for p</w:t>
      </w:r>
      <w:r>
        <w:t>roviders, clinical documentation specialists,</w:t>
      </w:r>
      <w:r w:rsidRPr="00BD4E48">
        <w:t xml:space="preserve"> and cod</w:t>
      </w:r>
      <w:r>
        <w:t>ers</w:t>
      </w:r>
      <w:r w:rsidRPr="00BD4E48">
        <w:t xml:space="preserve"> is </w:t>
      </w:r>
      <w:r>
        <w:t>essential to respond to</w:t>
      </w:r>
      <w:r w:rsidRPr="00BD4E48">
        <w:t xml:space="preserve"> changing</w:t>
      </w:r>
      <w:r>
        <w:t xml:space="preserve"> expectations for accurate coding of clinical conditions and quality measures</w:t>
      </w:r>
      <w:r w:rsidR="00A43E8E">
        <w:t>.</w:t>
      </w:r>
      <w:r>
        <w:t xml:space="preserve"> </w:t>
      </w:r>
      <w:r w:rsidR="00A43E8E">
        <w:t>Training also helps</w:t>
      </w:r>
      <w:r>
        <w:t xml:space="preserve"> promote mutual understanding of clinical and coding terminology.</w:t>
      </w:r>
      <w:r w:rsidR="00612A3E">
        <w:t xml:space="preserve"> </w:t>
      </w:r>
    </w:p>
    <w:p w14:paraId="30A9FD51" w14:textId="77777777" w:rsidR="005000B6" w:rsidRDefault="005000B6" w:rsidP="00CE0A3A">
      <w:r>
        <w:t xml:space="preserve">Provider buy-in is </w:t>
      </w:r>
      <w:r w:rsidR="007D2ED0">
        <w:t>critical</w:t>
      </w:r>
      <w:r>
        <w:t xml:space="preserve"> for effective documentation and coding, which can be encouraged through careful education, administrative support, </w:t>
      </w:r>
      <w:r w:rsidR="00A43E8E">
        <w:t xml:space="preserve">and </w:t>
      </w:r>
      <w:r>
        <w:t>physician champions</w:t>
      </w:r>
      <w:r w:rsidR="00A43E8E">
        <w:t>.</w:t>
      </w:r>
      <w:r>
        <w:t xml:space="preserve"> </w:t>
      </w:r>
      <w:r w:rsidR="00A43E8E">
        <w:t>It also is important to</w:t>
      </w:r>
      <w:r>
        <w:t xml:space="preserve"> hold providers accountable for compliance with documentation expectations and timely query responsiveness. </w:t>
      </w:r>
      <w:r w:rsidR="00A43E8E">
        <w:t>To get buy-in, you can</w:t>
      </w:r>
      <w:r>
        <w:t xml:space="preserve"> provi</w:t>
      </w:r>
      <w:r w:rsidR="00A43E8E">
        <w:t>de</w:t>
      </w:r>
      <w:r>
        <w:t xml:space="preserve"> handouts</w:t>
      </w:r>
      <w:r w:rsidR="00A13BF3">
        <w:t xml:space="preserve"> (such as the </w:t>
      </w:r>
      <w:r w:rsidR="00A43E8E">
        <w:t>f</w:t>
      </w:r>
      <w:r w:rsidR="00A13BF3">
        <w:t xml:space="preserve">act </w:t>
      </w:r>
      <w:r w:rsidR="00A43E8E">
        <w:t>s</w:t>
      </w:r>
      <w:r w:rsidR="00A13BF3">
        <w:t>heets in this toolkit</w:t>
      </w:r>
      <w:r w:rsidR="00EA04A7">
        <w:t xml:space="preserve"> [</w:t>
      </w:r>
      <w:r w:rsidR="00A43E8E">
        <w:t>T</w:t>
      </w:r>
      <w:r w:rsidR="00A13BF3">
        <w:t>ools A1a and A1b</w:t>
      </w:r>
      <w:r w:rsidR="00EA04A7">
        <w:t xml:space="preserve">] </w:t>
      </w:r>
      <w:r w:rsidR="00476D10">
        <w:t>and information about ICD-9 codes and how they are applied</w:t>
      </w:r>
      <w:r w:rsidR="00A13BF3">
        <w:t>)</w:t>
      </w:r>
      <w:r>
        <w:t>, pocket guides, and electronic health record alerts with coding terminology and frequently asked questions. Hospitals may want to make clinical documentation specialists available to provide real-time chart review, provider clarification</w:t>
      </w:r>
      <w:r w:rsidR="00A43E8E">
        <w:t>,</w:t>
      </w:r>
      <w:r>
        <w:t xml:space="preserve"> and one-on-one education. </w:t>
      </w:r>
    </w:p>
    <w:p w14:paraId="30A9FD52" w14:textId="77777777" w:rsidR="005000B6" w:rsidRDefault="00476D10" w:rsidP="00121F55">
      <w:r>
        <w:t>O</w:t>
      </w:r>
      <w:r w:rsidR="00A13BF3">
        <w:t>n</w:t>
      </w:r>
      <w:r>
        <w:t>e</w:t>
      </w:r>
      <w:r w:rsidR="00A13BF3">
        <w:t xml:space="preserve"> effective method for gaining buy-in from providers for documentation improvement is to present PSI rates based on their current style of documentation, side by side with revised rates after documentation clarification. </w:t>
      </w:r>
      <w:r w:rsidR="005000B6">
        <w:t xml:space="preserve">This type of presentation highlights the consequences of inadequate documentation and the importance of standardization and clarification. </w:t>
      </w:r>
    </w:p>
    <w:p w14:paraId="30A9FD53" w14:textId="66633D11" w:rsidR="005000B6" w:rsidRDefault="005000B6" w:rsidP="00121F55">
      <w:r>
        <w:t>The hospital may also need to upgrade the skills of clinical documentation and coding staff.</w:t>
      </w:r>
      <w:r w:rsidR="00612A3E">
        <w:t xml:space="preserve"> </w:t>
      </w:r>
      <w:r>
        <w:t xml:space="preserve">Coding errors may be due to a lack of knowledge of coding principles and terminology, or due to unfamiliarity with changing coding requirements. The quality of </w:t>
      </w:r>
      <w:r w:rsidR="00302B8A">
        <w:t>staff</w:t>
      </w:r>
      <w:r>
        <w:t>’s initial training, as well as their ability to stay abreast of current guidelines, is fundamental to their expertise.</w:t>
      </w:r>
      <w:r w:rsidR="00612A3E">
        <w:t xml:space="preserve"> </w:t>
      </w:r>
    </w:p>
    <w:p w14:paraId="30A9FD54" w14:textId="77777777" w:rsidR="005000B6" w:rsidRDefault="00302B8A" w:rsidP="00681702">
      <w:pPr>
        <w:pStyle w:val="Heading2"/>
      </w:pPr>
      <w:r>
        <w:t xml:space="preserve">Ways </w:t>
      </w:r>
      <w:proofErr w:type="gramStart"/>
      <w:r>
        <w:t>To</w:t>
      </w:r>
      <w:proofErr w:type="gramEnd"/>
      <w:r>
        <w:t xml:space="preserve"> </w:t>
      </w:r>
      <w:r w:rsidR="005000B6">
        <w:t>Establish an Effective Coding Communication and Review Process</w:t>
      </w:r>
    </w:p>
    <w:p w14:paraId="30A9FD55" w14:textId="6749B542" w:rsidR="005000B6" w:rsidRDefault="005000B6" w:rsidP="00C05443">
      <w:r>
        <w:t>The hospital can build a foundation for an accurate and comprehensive coding process by establishing written coding compliance policies that provide instructions on the entire process, from point of service to billing or claim forms. The American Health Information Management Association has published a coding compliance document that lays out a set of suggested protocols to include in an organization’s policies (AHIMA, 20</w:t>
      </w:r>
      <w:r w:rsidR="00A7321E">
        <w:t>12</w:t>
      </w:r>
      <w:r>
        <w:t>). This document is a useful guide for developing hospital documentation and coding</w:t>
      </w:r>
      <w:r w:rsidRPr="00E607A2">
        <w:t xml:space="preserve"> </w:t>
      </w:r>
      <w:r>
        <w:t>policy, which would include a standard process for the management of documentation, quer</w:t>
      </w:r>
      <w:r w:rsidR="00302B8A">
        <w:t>ies</w:t>
      </w:r>
      <w:r>
        <w:t>, coding, and ongoing quality assurance.</w:t>
      </w:r>
      <w:r w:rsidR="00612A3E">
        <w:t xml:space="preserve"> </w:t>
      </w:r>
    </w:p>
    <w:p w14:paraId="30A9FD56" w14:textId="2BB32748" w:rsidR="005000B6" w:rsidRDefault="005000B6" w:rsidP="00C05443">
      <w:r>
        <w:lastRenderedPageBreak/>
        <w:t>Other useful resources are existing policies and procedures established by hospitals or health systems.</w:t>
      </w:r>
      <w:r w:rsidR="00612A3E">
        <w:t xml:space="preserve"> </w:t>
      </w:r>
      <w:r>
        <w:t xml:space="preserve">The following examples of coding policies and procedures are available on the </w:t>
      </w:r>
      <w:r w:rsidR="00302B8A">
        <w:t>I</w:t>
      </w:r>
      <w:r>
        <w:t>nternet</w:t>
      </w:r>
      <w:r w:rsidR="00302B8A">
        <w:t>:</w:t>
      </w:r>
      <w:r w:rsidR="00612A3E">
        <w:t xml:space="preserve"> </w:t>
      </w:r>
    </w:p>
    <w:p w14:paraId="30A9FD57" w14:textId="77777777" w:rsidR="005000B6" w:rsidRDefault="005000B6" w:rsidP="002A5EF9">
      <w:pPr>
        <w:keepNext/>
        <w:spacing w:after="0"/>
      </w:pPr>
      <w:r>
        <w:t xml:space="preserve">Hawaii Health Systems </w:t>
      </w:r>
    </w:p>
    <w:p w14:paraId="30A9FD58" w14:textId="77777777" w:rsidR="005000B6" w:rsidRPr="00481B0A" w:rsidRDefault="005000B6" w:rsidP="00BA794E">
      <w:pPr>
        <w:spacing w:after="0"/>
      </w:pPr>
      <w:r>
        <w:t xml:space="preserve">Corporation </w:t>
      </w:r>
      <w:r w:rsidRPr="00481B0A">
        <w:t>Policies and Procedures</w:t>
      </w:r>
    </w:p>
    <w:p w14:paraId="30A9FD59" w14:textId="77777777" w:rsidR="00302B8A" w:rsidRDefault="005000B6" w:rsidP="00BA794E">
      <w:pPr>
        <w:spacing w:after="0"/>
      </w:pPr>
      <w:r>
        <w:t>Medical Records: Coding and Documentation for Inpatient Services</w:t>
      </w:r>
    </w:p>
    <w:p w14:paraId="30A9FD5A" w14:textId="74E9986F" w:rsidR="00302B8A" w:rsidRDefault="005000B6" w:rsidP="00BA794E">
      <w:pPr>
        <w:spacing w:after="0"/>
      </w:pPr>
      <w:r>
        <w:t>Effective date:</w:t>
      </w:r>
      <w:r w:rsidR="00612A3E">
        <w:t xml:space="preserve"> </w:t>
      </w:r>
      <w:r w:rsidRPr="00481B0A">
        <w:t>September 15, 2000</w:t>
      </w:r>
    </w:p>
    <w:p w14:paraId="30A9FD5B" w14:textId="77777777" w:rsidR="005000B6" w:rsidRDefault="005000B6" w:rsidP="00302B8A">
      <w:pPr>
        <w:spacing w:after="0"/>
      </w:pPr>
      <w:r>
        <w:t>Accessed July 27, 2011</w:t>
      </w:r>
      <w:r w:rsidR="00302B8A">
        <w:t>,</w:t>
      </w:r>
      <w:r>
        <w:t xml:space="preserve"> at </w:t>
      </w:r>
      <w:hyperlink r:id="rId17" w:history="1">
        <w:r w:rsidRPr="00420EFE">
          <w:rPr>
            <w:rStyle w:val="Hyperlink"/>
          </w:rPr>
          <w:t>http://hawaii.gov/hhsc/policies-and-procedures/Patient%20Care/PAT%201003_091500_.pdf</w:t>
        </w:r>
      </w:hyperlink>
    </w:p>
    <w:p w14:paraId="30A9FD5C" w14:textId="77777777" w:rsidR="00302B8A" w:rsidRDefault="00302B8A" w:rsidP="00BA794E">
      <w:pPr>
        <w:spacing w:after="0"/>
      </w:pPr>
    </w:p>
    <w:p w14:paraId="30A9FD5D" w14:textId="77777777" w:rsidR="005000B6" w:rsidRDefault="005000B6" w:rsidP="00BA794E">
      <w:pPr>
        <w:spacing w:after="0"/>
      </w:pPr>
      <w:r>
        <w:t>Iowa Health System</w:t>
      </w:r>
    </w:p>
    <w:p w14:paraId="30A9FD5E" w14:textId="77777777" w:rsidR="00302B8A" w:rsidRDefault="005000B6" w:rsidP="00BA794E">
      <w:pPr>
        <w:spacing w:after="0"/>
      </w:pPr>
      <w:r>
        <w:t>Coding and Documentation for Inpatient Services</w:t>
      </w:r>
    </w:p>
    <w:p w14:paraId="30A9FD5F" w14:textId="77777777" w:rsidR="00302B8A" w:rsidRDefault="005000B6" w:rsidP="00BA794E">
      <w:pPr>
        <w:spacing w:after="0"/>
      </w:pPr>
      <w:proofErr w:type="gramStart"/>
      <w:r>
        <w:t>1.BR.12</w:t>
      </w:r>
      <w:proofErr w:type="gramEnd"/>
    </w:p>
    <w:p w14:paraId="30A9FD60" w14:textId="77777777" w:rsidR="005000B6" w:rsidRDefault="005000B6" w:rsidP="00BA794E">
      <w:pPr>
        <w:spacing w:after="0"/>
      </w:pPr>
      <w:r>
        <w:t xml:space="preserve">Effective Date: </w:t>
      </w:r>
      <w:r w:rsidR="00302B8A">
        <w:t>February 2001</w:t>
      </w:r>
      <w:r>
        <w:t xml:space="preserve">; </w:t>
      </w:r>
      <w:r w:rsidR="00302B8A">
        <w:t>r</w:t>
      </w:r>
      <w:r>
        <w:t>ev</w:t>
      </w:r>
      <w:r w:rsidR="00302B8A">
        <w:t>ised June 2003 and July 2005</w:t>
      </w:r>
    </w:p>
    <w:p w14:paraId="30A9FD61" w14:textId="7F4CEFEE" w:rsidR="005000B6" w:rsidRDefault="005000B6" w:rsidP="00BA794E">
      <w:r>
        <w:t>Accessed August 1, 2011</w:t>
      </w:r>
      <w:r w:rsidR="00302B8A">
        <w:t>,</w:t>
      </w:r>
      <w:r>
        <w:t xml:space="preserve"> at:</w:t>
      </w:r>
      <w:r w:rsidR="00612A3E">
        <w:t xml:space="preserve"> </w:t>
      </w:r>
      <w:hyperlink r:id="rId18" w:history="1">
        <w:r w:rsidRPr="00420EFE">
          <w:rPr>
            <w:rStyle w:val="Hyperlink"/>
          </w:rPr>
          <w:t>http://www.ihs.org/documents_smm_pnp/public/2461_1BR12.pdf</w:t>
        </w:r>
      </w:hyperlink>
    </w:p>
    <w:p w14:paraId="30A9FD62" w14:textId="77777777" w:rsidR="005000B6" w:rsidRDefault="005000B6" w:rsidP="00BA794E">
      <w:pPr>
        <w:spacing w:after="0"/>
      </w:pPr>
      <w:r>
        <w:t>University of Illinois College of Medicine, Chicago, Illinois</w:t>
      </w:r>
    </w:p>
    <w:p w14:paraId="30A9FD63" w14:textId="77777777" w:rsidR="00302B8A" w:rsidRDefault="005000B6" w:rsidP="00BA794E">
      <w:pPr>
        <w:spacing w:after="0"/>
      </w:pPr>
      <w:r>
        <w:t>Coding and Documentation Policy and Procedure No. 3</w:t>
      </w:r>
    </w:p>
    <w:p w14:paraId="30A9FD64" w14:textId="77777777" w:rsidR="005000B6" w:rsidRDefault="005000B6" w:rsidP="00BA794E">
      <w:pPr>
        <w:spacing w:after="0"/>
      </w:pPr>
      <w:r>
        <w:t xml:space="preserve">Date: </w:t>
      </w:r>
      <w:r w:rsidR="00302B8A">
        <w:t xml:space="preserve">August 5, </w:t>
      </w:r>
      <w:r>
        <w:t>2010</w:t>
      </w:r>
    </w:p>
    <w:p w14:paraId="30A9FD65" w14:textId="77777777" w:rsidR="005000B6" w:rsidRDefault="005000B6" w:rsidP="00BA794E">
      <w:pPr>
        <w:spacing w:after="0"/>
      </w:pPr>
      <w:r>
        <w:t>Healthcare Coding and Documentation Compliance</w:t>
      </w:r>
    </w:p>
    <w:p w14:paraId="30A9FD66" w14:textId="77777777" w:rsidR="005000B6" w:rsidRDefault="005000B6" w:rsidP="00302B8A">
      <w:pPr>
        <w:spacing w:after="0"/>
      </w:pPr>
      <w:r>
        <w:t>Accessed July 27, 2011</w:t>
      </w:r>
      <w:r w:rsidR="00302B8A">
        <w:t>,</w:t>
      </w:r>
      <w:r>
        <w:t xml:space="preserve"> at:</w:t>
      </w:r>
      <w:r w:rsidR="00302B8A">
        <w:t xml:space="preserve"> </w:t>
      </w:r>
      <w:hyperlink r:id="rId19" w:history="1">
        <w:r w:rsidRPr="00420EFE">
          <w:rPr>
            <w:rStyle w:val="Hyperlink"/>
          </w:rPr>
          <w:t>http://chicago.medicine.uic.edu/UserFiles/Servers/Server_442934/File/Compliance/COM_Compliance_Coding_Policy.pdf</w:t>
        </w:r>
      </w:hyperlink>
    </w:p>
    <w:p w14:paraId="30A9FD67" w14:textId="77777777" w:rsidR="005000B6" w:rsidRDefault="005000B6">
      <w:pPr>
        <w:spacing w:after="200" w:line="276" w:lineRule="auto"/>
        <w:rPr>
          <w:b/>
          <w:bCs/>
          <w:sz w:val="28"/>
          <w:szCs w:val="28"/>
        </w:rPr>
      </w:pPr>
    </w:p>
    <w:p w14:paraId="30A9FD68" w14:textId="77777777" w:rsidR="005000B6" w:rsidRDefault="005000B6" w:rsidP="009C263E">
      <w:pPr>
        <w:pStyle w:val="Heading1"/>
      </w:pPr>
      <w:r>
        <w:t xml:space="preserve">Actions </w:t>
      </w:r>
      <w:proofErr w:type="gramStart"/>
      <w:r w:rsidR="009C263E">
        <w:t>T</w:t>
      </w:r>
      <w:r>
        <w:t>o</w:t>
      </w:r>
      <w:proofErr w:type="gramEnd"/>
      <w:r>
        <w:t xml:space="preserve"> Code Patient Safety Events Accurately</w:t>
      </w:r>
    </w:p>
    <w:p w14:paraId="30A9FD69" w14:textId="77777777" w:rsidR="00B50354" w:rsidRPr="00B50354" w:rsidRDefault="00B50354" w:rsidP="00B50354">
      <w:pPr>
        <w:pStyle w:val="Heading1"/>
      </w:pPr>
    </w:p>
    <w:p w14:paraId="30A9FD6A" w14:textId="77777777" w:rsidR="005000B6" w:rsidRDefault="005000B6" w:rsidP="007D38CB">
      <w:r>
        <w:t xml:space="preserve">A number of issues during both the documentation and coding processes can affect the validity of the PSIs. The </w:t>
      </w:r>
      <w:r w:rsidRPr="00D54F88">
        <w:rPr>
          <w:b/>
          <w:bCs/>
          <w:i/>
          <w:iCs/>
        </w:rPr>
        <w:t>positive predictive value (PPV)</w:t>
      </w:r>
      <w:r>
        <w:t xml:space="preserve"> is an assessment of how accurately the measurement (i.e., the reported PSI rate) reflects the occurrence of actual events. </w:t>
      </w:r>
      <w:r w:rsidR="00A33DDA">
        <w:t>The formula for PPV is:</w:t>
      </w:r>
    </w:p>
    <w:p w14:paraId="30A9FD6B" w14:textId="77777777" w:rsidR="005000B6" w:rsidRPr="00D54F88" w:rsidRDefault="005000B6" w:rsidP="00E11FFB">
      <w:pPr>
        <w:jc w:val="center"/>
      </w:pPr>
      <w:r w:rsidRPr="00D54F88">
        <w:t>Positive Predictive Value (PPV) = True Positives / Flagged Cases</w:t>
      </w:r>
    </w:p>
    <w:p w14:paraId="30A9FD6C" w14:textId="370DEEE8" w:rsidR="005000B6" w:rsidRDefault="005000B6" w:rsidP="00674F3D">
      <w:r>
        <w:t>The ideal value for PPV is equal to 1, where the number of true positives is equal to the number of flagged cases.</w:t>
      </w:r>
      <w:r w:rsidR="00612A3E">
        <w:t xml:space="preserve"> </w:t>
      </w:r>
      <w:r w:rsidRPr="00D54F88">
        <w:t xml:space="preserve">If the number of true positives is lower than the number of flagged cases </w:t>
      </w:r>
      <w:r>
        <w:rPr>
          <w:i/>
          <w:iCs/>
        </w:rPr>
        <w:t>(PPV &lt; 1)</w:t>
      </w:r>
      <w:r w:rsidRPr="00D54F88">
        <w:t xml:space="preserve"> (e.g., individual</w:t>
      </w:r>
      <w:r w:rsidR="00A33DDA">
        <w:t>s</w:t>
      </w:r>
      <w:r w:rsidRPr="00D54F88">
        <w:t xml:space="preserve"> </w:t>
      </w:r>
      <w:r>
        <w:t>were</w:t>
      </w:r>
      <w:r w:rsidRPr="00D54F88">
        <w:t xml:space="preserve"> coded as having a patient safety event when no event actually occurred), there is a problem with </w:t>
      </w:r>
      <w:r w:rsidRPr="00D54F88">
        <w:rPr>
          <w:i/>
          <w:iCs/>
        </w:rPr>
        <w:t>false positives</w:t>
      </w:r>
      <w:r w:rsidRPr="00D54F88">
        <w:t>.</w:t>
      </w:r>
      <w:r w:rsidR="00612A3E">
        <w:t xml:space="preserve"> </w:t>
      </w:r>
    </w:p>
    <w:p w14:paraId="30A9FD6D" w14:textId="415491BC" w:rsidR="005000B6" w:rsidRPr="00D54F88" w:rsidRDefault="005000B6" w:rsidP="00674F3D">
      <w:r>
        <w:t>On the other hand, the problem may be one of missed cases that should have been detected</w:t>
      </w:r>
      <w:r w:rsidR="00A33DDA">
        <w:t>,</w:t>
      </w:r>
      <w:r>
        <w:t xml:space="preserve"> which would result in the number of true positives being higher than the number of flagged cases.</w:t>
      </w:r>
      <w:r w:rsidR="00612A3E">
        <w:t xml:space="preserve"> </w:t>
      </w:r>
      <w:r>
        <w:t>Missed cases are more difficult to address than false positives, because they are present in cases that were not identified for calculating PSI rates.</w:t>
      </w:r>
      <w:r w:rsidR="00612A3E">
        <w:t xml:space="preserve"> </w:t>
      </w:r>
      <w:r>
        <w:t>Finding missed cases requires a new review of the relevant cases (in the rate denominator) for evidence of events that previously had not been detected.</w:t>
      </w:r>
    </w:p>
    <w:p w14:paraId="30A9FD6E" w14:textId="77777777" w:rsidR="005000B6" w:rsidRDefault="005000B6" w:rsidP="0058302C">
      <w:pPr>
        <w:pStyle w:val="Heading2"/>
      </w:pPr>
      <w:r>
        <w:lastRenderedPageBreak/>
        <w:t xml:space="preserve">Reasons for False Positives </w:t>
      </w:r>
    </w:p>
    <w:p w14:paraId="30A9FD6F" w14:textId="200B6E59" w:rsidR="005000B6" w:rsidRPr="00674F3D" w:rsidRDefault="005000B6" w:rsidP="00D54F88">
      <w:r>
        <w:t>Several key reasons for false positives in the PSI rates have been identified by hospitals and reported in the health care literature.</w:t>
      </w:r>
      <w:r w:rsidR="00612A3E">
        <w:t xml:space="preserve"> </w:t>
      </w:r>
      <w:r>
        <w:t xml:space="preserve">These include coding of </w:t>
      </w:r>
      <w:r w:rsidR="00A33DDA">
        <w:t>POA</w:t>
      </w:r>
      <w:r>
        <w:t xml:space="preserve">, miscoding, lack of coding specificity, coding </w:t>
      </w:r>
      <w:r w:rsidR="00A33DDA">
        <w:t xml:space="preserve">of </w:t>
      </w:r>
      <w:proofErr w:type="spellStart"/>
      <w:r>
        <w:t>nonelective</w:t>
      </w:r>
      <w:proofErr w:type="spellEnd"/>
      <w:r>
        <w:t xml:space="preserve"> surgical admissions, and inaccurate coding of history of events.</w:t>
      </w:r>
      <w:r w:rsidR="00612A3E">
        <w:t xml:space="preserve"> </w:t>
      </w:r>
    </w:p>
    <w:p w14:paraId="30A9FD70" w14:textId="0E34C6BF" w:rsidR="00A33DDA" w:rsidRDefault="005000B6" w:rsidP="00FF31A5">
      <w:r w:rsidRPr="00D54F88">
        <w:rPr>
          <w:b/>
          <w:bCs/>
        </w:rPr>
        <w:t xml:space="preserve">Present on </w:t>
      </w:r>
      <w:r>
        <w:rPr>
          <w:b/>
          <w:bCs/>
        </w:rPr>
        <w:t>a</w:t>
      </w:r>
      <w:r w:rsidRPr="00D54F88">
        <w:rPr>
          <w:b/>
          <w:bCs/>
        </w:rPr>
        <w:t>dmission.</w:t>
      </w:r>
      <w:r w:rsidR="00612A3E">
        <w:t xml:space="preserve"> </w:t>
      </w:r>
      <w:r>
        <w:t>One of the most frequently cited causes of false positive cases is improper use of the POA flag (Glance</w:t>
      </w:r>
      <w:r w:rsidR="00A33DDA">
        <w:t>,</w:t>
      </w:r>
      <w:r>
        <w:t xml:space="preserve"> et al., 2008). </w:t>
      </w:r>
      <w:r w:rsidR="00A33DDA">
        <w:t>Most</w:t>
      </w:r>
      <w:r>
        <w:t xml:space="preserve"> PSIs have a coding exception that removes cases that arrived at the hospital with a condition that would be coded as a patient safety event had </w:t>
      </w:r>
      <w:r w:rsidR="00A33DDA">
        <w:t xml:space="preserve">it </w:t>
      </w:r>
      <w:r>
        <w:t xml:space="preserve">occurred during the </w:t>
      </w:r>
      <w:r w:rsidR="00A33DDA">
        <w:t xml:space="preserve">patient’s </w:t>
      </w:r>
      <w:r>
        <w:t>stay (see Table 2). If POA is not indicated in the documentation or is not properly coded, the PSI rate will be inflated (</w:t>
      </w:r>
      <w:proofErr w:type="spellStart"/>
      <w:r>
        <w:t>Houchens</w:t>
      </w:r>
      <w:proofErr w:type="spellEnd"/>
      <w:r w:rsidR="00A33DDA">
        <w:t>,</w:t>
      </w:r>
      <w:r>
        <w:t xml:space="preserve"> et al</w:t>
      </w:r>
      <w:r w:rsidR="00A33DDA">
        <w:t>.</w:t>
      </w:r>
      <w:r>
        <w:t>, 2008).</w:t>
      </w:r>
      <w:r w:rsidR="00612A3E">
        <w:t xml:space="preserve"> </w:t>
      </w:r>
    </w:p>
    <w:p w14:paraId="30A9FD71" w14:textId="73D1C641" w:rsidR="005000B6" w:rsidRDefault="00A33DDA" w:rsidP="00FF31A5">
      <w:r>
        <w:t>Improper use of the POA flag</w:t>
      </w:r>
      <w:r w:rsidR="005000B6">
        <w:t xml:space="preserve"> is a particular problem for hospitals that receive many transfers from other institutions.</w:t>
      </w:r>
      <w:r w:rsidR="00612A3E">
        <w:t xml:space="preserve"> </w:t>
      </w:r>
      <w:r>
        <w:t>W</w:t>
      </w:r>
      <w:r w:rsidR="005000B6">
        <w:t>hen the clinical conditions are unclear, it is appropriate for the provider to document “rule out</w:t>
      </w:r>
      <w:r>
        <w:t>,</w:t>
      </w:r>
      <w:r w:rsidR="005000B6">
        <w:t>” “possible</w:t>
      </w:r>
      <w:r>
        <w:t>,</w:t>
      </w:r>
      <w:r w:rsidR="005000B6">
        <w:t>” or “consider” diagnoses as long as he</w:t>
      </w:r>
      <w:r>
        <w:t xml:space="preserve"> or </w:t>
      </w:r>
      <w:r w:rsidR="005000B6">
        <w:t xml:space="preserve">she thoroughly documents the resolution of these tentative conditions in the medical record. </w:t>
      </w:r>
    </w:p>
    <w:p w14:paraId="30A9FD72" w14:textId="22AAE796" w:rsidR="005000B6" w:rsidRDefault="005000B6" w:rsidP="00FF31A5">
      <w:proofErr w:type="gramStart"/>
      <w:r w:rsidRPr="00D54F88">
        <w:rPr>
          <w:b/>
          <w:bCs/>
        </w:rPr>
        <w:t>Miscoding.</w:t>
      </w:r>
      <w:proofErr w:type="gramEnd"/>
      <w:r w:rsidR="00612A3E">
        <w:t xml:space="preserve"> </w:t>
      </w:r>
      <w:r>
        <w:t xml:space="preserve">Diagnosis or procedure codes can be miscoded by either assigning an incorrect code or omitting a code, </w:t>
      </w:r>
      <w:r w:rsidR="00A33DDA">
        <w:t xml:space="preserve">which </w:t>
      </w:r>
      <w:r>
        <w:t>may also lead to inflated PSI rates.</w:t>
      </w:r>
      <w:r w:rsidR="00612A3E">
        <w:t xml:space="preserve"> </w:t>
      </w:r>
      <w:r>
        <w:t xml:space="preserve">One example of miscoding is to code intentional procedures such as laceration of plaque as an accidental puncture or laceration (PSI 15). </w:t>
      </w:r>
    </w:p>
    <w:p w14:paraId="30A9FD73" w14:textId="61BA203D" w:rsidR="005000B6" w:rsidRDefault="005000B6" w:rsidP="00FF31A5">
      <w:proofErr w:type="gramStart"/>
      <w:r w:rsidRPr="00D54F88">
        <w:rPr>
          <w:b/>
          <w:bCs/>
        </w:rPr>
        <w:t>Lack of coding specificity.</w:t>
      </w:r>
      <w:proofErr w:type="gramEnd"/>
      <w:r w:rsidR="00612A3E">
        <w:t xml:space="preserve"> </w:t>
      </w:r>
      <w:r>
        <w:t>If documentation or codes are not specific enough, rates can be inflated.</w:t>
      </w:r>
      <w:r w:rsidR="00612A3E">
        <w:t xml:space="preserve"> </w:t>
      </w:r>
      <w:r>
        <w:t>For example, rates will be inflated if an event occurs after admission but prior to surgery and there is no documentation or code to indicate that the event was not postoperative. This issue is especially important for the following PSIs:</w:t>
      </w:r>
    </w:p>
    <w:p w14:paraId="30A9FD74" w14:textId="77777777" w:rsidR="00CA3C08" w:rsidRDefault="005000B6" w:rsidP="000A0EA4">
      <w:pPr>
        <w:pStyle w:val="ListBullet2"/>
      </w:pPr>
      <w:r>
        <w:t>PSI 4: (</w:t>
      </w:r>
      <w:r w:rsidR="00A726C0">
        <w:t xml:space="preserve">Death </w:t>
      </w:r>
      <w:proofErr w:type="gramStart"/>
      <w:r w:rsidR="007D66CC">
        <w:t>A</w:t>
      </w:r>
      <w:r w:rsidR="00A726C0">
        <w:t xml:space="preserve">mong Surgical Inpatients </w:t>
      </w:r>
      <w:r w:rsidR="007D66CC">
        <w:t>W</w:t>
      </w:r>
      <w:r w:rsidR="00A726C0">
        <w:t>ith</w:t>
      </w:r>
      <w:proofErr w:type="gramEnd"/>
      <w:r w:rsidR="00A726C0">
        <w:t xml:space="preserve"> Serious Treatable Complications</w:t>
      </w:r>
      <w:r>
        <w:t xml:space="preserve">) requires precise coding of complex comorbidities; variation in clinical documentation and coding practices </w:t>
      </w:r>
      <w:r w:rsidR="00A33DDA">
        <w:t>can</w:t>
      </w:r>
      <w:r>
        <w:t xml:space="preserve"> bias rates of this PSI (</w:t>
      </w:r>
      <w:proofErr w:type="spellStart"/>
      <w:r>
        <w:t>Talsma</w:t>
      </w:r>
      <w:proofErr w:type="spellEnd"/>
      <w:r w:rsidR="00A33DDA">
        <w:t>,</w:t>
      </w:r>
      <w:r>
        <w:t xml:space="preserve"> et al., 2008; Rosen</w:t>
      </w:r>
      <w:r w:rsidR="00A33DDA">
        <w:t>,</w:t>
      </w:r>
      <w:r>
        <w:t xml:space="preserve"> et al., 2006). </w:t>
      </w:r>
    </w:p>
    <w:p w14:paraId="30A9FD75" w14:textId="77777777" w:rsidR="00CA3C08" w:rsidRDefault="005000B6" w:rsidP="000A0EA4">
      <w:pPr>
        <w:pStyle w:val="ListBullet2"/>
      </w:pPr>
      <w:r>
        <w:t>PSIs 7 and 13 (Central Venous Catheter</w:t>
      </w:r>
      <w:r w:rsidR="00734DA7">
        <w:t>-</w:t>
      </w:r>
      <w:r>
        <w:t xml:space="preserve">Related Bloodstream Infection </w:t>
      </w:r>
      <w:r w:rsidR="00734DA7">
        <w:t xml:space="preserve">[CLABSI] </w:t>
      </w:r>
      <w:r>
        <w:t>and Postoperative Sepsis), a physician may write, “</w:t>
      </w:r>
      <w:proofErr w:type="gramStart"/>
      <w:r>
        <w:t>consider</w:t>
      </w:r>
      <w:proofErr w:type="gramEnd"/>
      <w:r>
        <w:t xml:space="preserve"> sepsis,” which may trigger coders to code “sepsis” despite the lack of evidence of a confirmed infection. Again, it is appropriate for a provider to document tentative conditions and complications as long as he</w:t>
      </w:r>
      <w:r w:rsidR="00A33DDA">
        <w:t xml:space="preserve"> or </w:t>
      </w:r>
      <w:r>
        <w:t xml:space="preserve">she follows through to document the confirmation or exclusion of these conditions. </w:t>
      </w:r>
    </w:p>
    <w:p w14:paraId="30A9FD76" w14:textId="77777777" w:rsidR="00CA3C08" w:rsidRDefault="005000B6" w:rsidP="000A0EA4">
      <w:pPr>
        <w:pStyle w:val="ListBullet2"/>
      </w:pPr>
      <w:r>
        <w:t>PSI 9 (</w:t>
      </w:r>
      <w:r w:rsidRPr="00181360">
        <w:rPr>
          <w:color w:val="000000"/>
        </w:rPr>
        <w:t>Postop</w:t>
      </w:r>
      <w:r>
        <w:rPr>
          <w:color w:val="000000"/>
        </w:rPr>
        <w:t>erative</w:t>
      </w:r>
      <w:r w:rsidRPr="00181360">
        <w:rPr>
          <w:color w:val="000000"/>
        </w:rPr>
        <w:t xml:space="preserve"> Hemorrhage or Hematoma</w:t>
      </w:r>
      <w:r>
        <w:rPr>
          <w:color w:val="000000"/>
        </w:rPr>
        <w:t>)</w:t>
      </w:r>
      <w:r>
        <w:t xml:space="preserve"> is sometimes miscoded when a hemorrhage or hematoma occurs during the operation rather than after the operation. </w:t>
      </w:r>
    </w:p>
    <w:p w14:paraId="30A9FD77" w14:textId="67E93D74" w:rsidR="002A5EF9" w:rsidRDefault="002A5EF9" w:rsidP="002A5EF9">
      <w:r>
        <w:t>Another example of lack of coding specificity is a bias against coding chronic conditions or comorbidities</w:t>
      </w:r>
      <w:r w:rsidRPr="00B33CD1">
        <w:t xml:space="preserve"> </w:t>
      </w:r>
      <w:r>
        <w:t>for patients who die (</w:t>
      </w:r>
      <w:proofErr w:type="spellStart"/>
      <w:r>
        <w:t>Iezzoni</w:t>
      </w:r>
      <w:proofErr w:type="spellEnd"/>
      <w:r w:rsidR="00A33DDA">
        <w:t>,</w:t>
      </w:r>
      <w:r>
        <w:t xml:space="preserve"> et al</w:t>
      </w:r>
      <w:r w:rsidR="00A33DDA">
        <w:t>.,</w:t>
      </w:r>
      <w:r>
        <w:t xml:space="preserve"> 1992).</w:t>
      </w:r>
      <w:r w:rsidR="00612A3E">
        <w:t xml:space="preserve"> </w:t>
      </w:r>
      <w:r w:rsidR="00A33DDA">
        <w:t xml:space="preserve">The rate for </w:t>
      </w:r>
      <w:r>
        <w:t>PSI 2</w:t>
      </w:r>
      <w:r w:rsidR="00A33DDA">
        <w:t>,</w:t>
      </w:r>
      <w:r>
        <w:t xml:space="preserve"> Death in Low Mortality DRG</w:t>
      </w:r>
      <w:r w:rsidR="00A33DDA">
        <w:t>,</w:t>
      </w:r>
      <w:r>
        <w:t xml:space="preserve"> is especially vulnerable to this effect.</w:t>
      </w:r>
      <w:r w:rsidR="00612A3E">
        <w:t xml:space="preserve"> </w:t>
      </w:r>
      <w:r>
        <w:t>A</w:t>
      </w:r>
      <w:r w:rsidRPr="00A216F3">
        <w:t xml:space="preserve"> lack of codes for comorbidities may distort its rate</w:t>
      </w:r>
      <w:r>
        <w:t xml:space="preserve"> by including cases in the denominator that should not be there, which likely would increase the PSI rate. Hospitals should establish effective mortality review procedures to assess both the quality and safety of clinical care and the accuracy and completeness of clinical documentation and coding.</w:t>
      </w:r>
    </w:p>
    <w:p w14:paraId="30A9FD78" w14:textId="4FEE0171" w:rsidR="005000B6" w:rsidRDefault="005000B6" w:rsidP="00FF31A5">
      <w:proofErr w:type="spellStart"/>
      <w:proofErr w:type="gramStart"/>
      <w:r w:rsidRPr="00D54F88">
        <w:rPr>
          <w:b/>
          <w:bCs/>
        </w:rPr>
        <w:t>Nonelective</w:t>
      </w:r>
      <w:proofErr w:type="spellEnd"/>
      <w:r w:rsidRPr="00D54F88">
        <w:rPr>
          <w:b/>
          <w:bCs/>
        </w:rPr>
        <w:t xml:space="preserve"> </w:t>
      </w:r>
      <w:r>
        <w:rPr>
          <w:b/>
          <w:bCs/>
        </w:rPr>
        <w:t xml:space="preserve">surgical </w:t>
      </w:r>
      <w:r w:rsidRPr="00D54F88">
        <w:rPr>
          <w:b/>
          <w:bCs/>
        </w:rPr>
        <w:t>admission.</w:t>
      </w:r>
      <w:proofErr w:type="gramEnd"/>
      <w:r w:rsidR="00612A3E">
        <w:t xml:space="preserve"> </w:t>
      </w:r>
      <w:r>
        <w:t xml:space="preserve">Several of the surgical PSIs are only applicable to elective surgeries. These are PSI 10: Postoperative </w:t>
      </w:r>
      <w:r w:rsidR="0076259F">
        <w:t xml:space="preserve">Physiologic and </w:t>
      </w:r>
      <w:r>
        <w:t>Metabolic Derangement</w:t>
      </w:r>
      <w:r w:rsidR="00A33DDA">
        <w:t>;</w:t>
      </w:r>
      <w:r>
        <w:t xml:space="preserve"> PSI 11: </w:t>
      </w:r>
      <w:r>
        <w:lastRenderedPageBreak/>
        <w:t>Postoperative Respiratory Failure</w:t>
      </w:r>
      <w:r w:rsidR="00A33DDA">
        <w:t>;</w:t>
      </w:r>
      <w:r>
        <w:t xml:space="preserve"> and PSI 13: Postoperative Sepsis. If a patient safety event occurs </w:t>
      </w:r>
      <w:r w:rsidR="00A33DDA">
        <w:t>after</w:t>
      </w:r>
      <w:r>
        <w:t xml:space="preserve"> a </w:t>
      </w:r>
      <w:proofErr w:type="spellStart"/>
      <w:r>
        <w:t>nonelective</w:t>
      </w:r>
      <w:proofErr w:type="spellEnd"/>
      <w:r>
        <w:t xml:space="preserve"> surgery, this case may be mistakenly included in the rate and would incorrectly inflate the rate.</w:t>
      </w:r>
      <w:r w:rsidR="00612A3E">
        <w:t xml:space="preserve"> </w:t>
      </w:r>
    </w:p>
    <w:p w14:paraId="30A9FD79" w14:textId="0F8310FC" w:rsidR="005000B6" w:rsidRDefault="005000B6" w:rsidP="00674F3D">
      <w:proofErr w:type="gramStart"/>
      <w:r w:rsidRPr="00D54F88">
        <w:rPr>
          <w:b/>
          <w:bCs/>
        </w:rPr>
        <w:t>History of event.</w:t>
      </w:r>
      <w:proofErr w:type="gramEnd"/>
      <w:r w:rsidR="00612A3E">
        <w:t xml:space="preserve"> </w:t>
      </w:r>
      <w:r>
        <w:t>Finally, coders may mistakenly code physicians’ documentation of “history of” an event as an actual event, which will inflate PSI rates. For example, physicians may write “rule out” pneumothorax, which may be mistakenly coded as a pneumothorax (Romano, 2010).</w:t>
      </w:r>
      <w:r w:rsidR="00612A3E">
        <w:t xml:space="preserve"> </w:t>
      </w:r>
    </w:p>
    <w:p w14:paraId="30A9FD7A" w14:textId="77777777" w:rsidR="005000B6" w:rsidRDefault="005000B6" w:rsidP="007F78CF">
      <w:pPr>
        <w:pStyle w:val="Heading2"/>
      </w:pPr>
      <w:r>
        <w:t xml:space="preserve">Reasons for </w:t>
      </w:r>
      <w:r w:rsidR="002A5EF9">
        <w:t>Missed Cases</w:t>
      </w:r>
    </w:p>
    <w:p w14:paraId="30A9FD7B" w14:textId="42205A09" w:rsidR="005000B6" w:rsidRDefault="005000B6" w:rsidP="00551DC7">
      <w:r>
        <w:t>Finding missed cases in PSI measurements may be much more difficult than finding false positives. Several of the reasons listed above (especially miscoding and lack of specificity) may bias results in a downward direction.</w:t>
      </w:r>
      <w:r w:rsidR="00612A3E">
        <w:t xml:space="preserve"> </w:t>
      </w:r>
      <w:r w:rsidR="002A5EF9">
        <w:t xml:space="preserve">For example, missed cases could occur if an accidental laceration is not clearly documented in the medical record or if cases </w:t>
      </w:r>
      <w:r w:rsidR="00274B16">
        <w:t xml:space="preserve">with </w:t>
      </w:r>
      <w:r w:rsidR="002A5EF9">
        <w:t xml:space="preserve">sepsis are not </w:t>
      </w:r>
      <w:r w:rsidR="00274B16">
        <w:t>identified due to incomplete review of the record.</w:t>
      </w:r>
      <w:r w:rsidR="00612A3E">
        <w:t xml:space="preserve"> </w:t>
      </w:r>
    </w:p>
    <w:p w14:paraId="30A9FD7C" w14:textId="77777777" w:rsidR="00A6577C" w:rsidRDefault="00A6577C" w:rsidP="00551DC7">
      <w:r>
        <w:t xml:space="preserve">Hospital quality </w:t>
      </w:r>
      <w:proofErr w:type="gramStart"/>
      <w:r>
        <w:t xml:space="preserve">staff </w:t>
      </w:r>
      <w:r w:rsidR="00691A1A">
        <w:t>who</w:t>
      </w:r>
      <w:r>
        <w:t xml:space="preserve"> are</w:t>
      </w:r>
      <w:proofErr w:type="gramEnd"/>
      <w:r>
        <w:t xml:space="preserve"> interested in finding missed cases may need to come up with creative solutions for finding </w:t>
      </w:r>
      <w:r w:rsidR="003728DE">
        <w:t>them</w:t>
      </w:r>
      <w:r>
        <w:t>. One example would be to inspect lab</w:t>
      </w:r>
      <w:r w:rsidR="00691A1A">
        <w:t>oratory</w:t>
      </w:r>
      <w:r>
        <w:t xml:space="preserve"> documentation of infections to search for missed line infections. </w:t>
      </w:r>
      <w:r w:rsidR="003728DE">
        <w:rPr>
          <w:bCs/>
        </w:rPr>
        <w:t>Another would be to</w:t>
      </w:r>
      <w:r w:rsidR="003728DE" w:rsidRPr="003728DE">
        <w:rPr>
          <w:bCs/>
        </w:rPr>
        <w:t xml:space="preserve"> audit charts</w:t>
      </w:r>
      <w:r w:rsidR="003728DE">
        <w:rPr>
          <w:bCs/>
        </w:rPr>
        <w:t xml:space="preserve"> to find missed cases</w:t>
      </w:r>
      <w:r w:rsidR="003728DE" w:rsidRPr="003728DE">
        <w:rPr>
          <w:bCs/>
        </w:rPr>
        <w:t>, especially those of high</w:t>
      </w:r>
      <w:r w:rsidR="00734DA7">
        <w:rPr>
          <w:bCs/>
        </w:rPr>
        <w:t>-</w:t>
      </w:r>
      <w:r w:rsidR="003728DE" w:rsidRPr="003728DE">
        <w:rPr>
          <w:bCs/>
        </w:rPr>
        <w:t>risk patients (</w:t>
      </w:r>
      <w:proofErr w:type="spellStart"/>
      <w:r w:rsidR="00734DA7">
        <w:rPr>
          <w:bCs/>
        </w:rPr>
        <w:t>e.g.</w:t>
      </w:r>
      <w:proofErr w:type="gramStart"/>
      <w:r w:rsidR="00734DA7">
        <w:rPr>
          <w:bCs/>
        </w:rPr>
        <w:t>,long</w:t>
      </w:r>
      <w:proofErr w:type="spellEnd"/>
      <w:proofErr w:type="gramEnd"/>
      <w:r w:rsidR="003728DE" w:rsidRPr="003728DE">
        <w:rPr>
          <w:bCs/>
        </w:rPr>
        <w:t xml:space="preserve"> </w:t>
      </w:r>
      <w:r w:rsidR="00734DA7">
        <w:rPr>
          <w:bCs/>
        </w:rPr>
        <w:t>length of stay</w:t>
      </w:r>
      <w:r w:rsidR="003728DE" w:rsidRPr="003728DE">
        <w:rPr>
          <w:bCs/>
        </w:rPr>
        <w:t>, ICU populations who may be at risk for pressure ulcers or CLABSI, deaths, patients with “age extremes”</w:t>
      </w:r>
      <w:r w:rsidR="003728DE">
        <w:rPr>
          <w:bCs/>
        </w:rPr>
        <w:t>)</w:t>
      </w:r>
      <w:r w:rsidR="003728DE" w:rsidRPr="003728DE">
        <w:rPr>
          <w:bCs/>
        </w:rPr>
        <w:t>.</w:t>
      </w:r>
    </w:p>
    <w:p w14:paraId="30A9FD7D" w14:textId="77777777" w:rsidR="005000B6" w:rsidRDefault="005000B6" w:rsidP="00A0087A">
      <w:pPr>
        <w:pStyle w:val="Heading2"/>
      </w:pPr>
      <w:r>
        <w:t>Documentation and Coding Issues for Individual PSI</w:t>
      </w:r>
      <w:r w:rsidR="00734DA7">
        <w:t>s</w:t>
      </w:r>
    </w:p>
    <w:p w14:paraId="30A9FD7E" w14:textId="7DECA56F" w:rsidR="005000B6" w:rsidRDefault="005000B6" w:rsidP="00551DC7">
      <w:r>
        <w:t>Some specific documentation issues for each PSI are listed in Table 1, and some specific coding issues for each PSI are listed in Table 2.</w:t>
      </w:r>
      <w:r w:rsidR="00612A3E">
        <w:t xml:space="preserve"> </w:t>
      </w:r>
      <w:r>
        <w:t>The PSIs are grouped as Surgical PSIs, Medical and Surgical PSI</w:t>
      </w:r>
      <w:r w:rsidR="00734DA7">
        <w:t>s</w:t>
      </w:r>
      <w:r>
        <w:t xml:space="preserve">, </w:t>
      </w:r>
      <w:r w:rsidR="00734DA7">
        <w:t>and</w:t>
      </w:r>
      <w:r>
        <w:t xml:space="preserve"> Obstetric PSIs.</w:t>
      </w:r>
      <w:r w:rsidR="00612A3E">
        <w:t xml:space="preserve"> </w:t>
      </w:r>
      <w:r>
        <w:t>These issues were identified through a search of published papers on PSI measurement issues as well as from feedback from hospitals during field test</w:t>
      </w:r>
      <w:r w:rsidR="00734DA7">
        <w:t>ing</w:t>
      </w:r>
      <w:r>
        <w:t xml:space="preserve"> of this toolkit and subsequent development of this tool.</w:t>
      </w:r>
      <w:r w:rsidR="00612A3E">
        <w:t xml:space="preserve"> </w:t>
      </w:r>
    </w:p>
    <w:p w14:paraId="30A9FD7F" w14:textId="77777777" w:rsidR="005000B6" w:rsidRDefault="005000B6" w:rsidP="00103873">
      <w:pPr>
        <w:pStyle w:val="Heading1"/>
        <w:spacing w:before="120"/>
      </w:pPr>
      <w:r>
        <w:t xml:space="preserve">References </w:t>
      </w:r>
    </w:p>
    <w:p w14:paraId="30A9FD80" w14:textId="77777777" w:rsidR="005000B6" w:rsidRPr="002A0514" w:rsidRDefault="005000B6" w:rsidP="00103873">
      <w:pPr>
        <w:pStyle w:val="Heading2"/>
        <w:spacing w:after="60"/>
      </w:pPr>
      <w:r>
        <w:t>Coding Processes</w:t>
      </w:r>
    </w:p>
    <w:p w14:paraId="30A9FD81" w14:textId="555C07E2" w:rsidR="005000B6" w:rsidRDefault="005000B6" w:rsidP="002049CB">
      <w:proofErr w:type="gramStart"/>
      <w:r>
        <w:t>American Health Information Management Association (AHIMA).</w:t>
      </w:r>
      <w:proofErr w:type="gramEnd"/>
      <w:r>
        <w:t xml:space="preserve"> </w:t>
      </w:r>
      <w:proofErr w:type="gramStart"/>
      <w:r w:rsidR="00A7321E">
        <w:t xml:space="preserve">Defining the </w:t>
      </w:r>
      <w:r w:rsidR="00690BCE">
        <w:t>c</w:t>
      </w:r>
      <w:r w:rsidR="00A7321E">
        <w:t xml:space="preserve">ore </w:t>
      </w:r>
      <w:r w:rsidR="00690BCE">
        <w:t>c</w:t>
      </w:r>
      <w:r w:rsidR="00A7321E">
        <w:t xml:space="preserve">linical </w:t>
      </w:r>
      <w:r w:rsidR="00690BCE">
        <w:t>d</w:t>
      </w:r>
      <w:r w:rsidR="00A7321E">
        <w:t xml:space="preserve">ocumentation </w:t>
      </w:r>
      <w:r w:rsidR="00690BCE">
        <w:t>s</w:t>
      </w:r>
      <w:r w:rsidR="00A7321E">
        <w:t xml:space="preserve">et for </w:t>
      </w:r>
      <w:r w:rsidR="00690BCE">
        <w:t>c</w:t>
      </w:r>
      <w:r w:rsidR="00A7321E">
        <w:t xml:space="preserve">oding </w:t>
      </w:r>
      <w:r w:rsidR="00690BCE">
        <w:t>c</w:t>
      </w:r>
      <w:r w:rsidR="00A7321E">
        <w:t>ompliance</w:t>
      </w:r>
      <w:r>
        <w:t>.</w:t>
      </w:r>
      <w:proofErr w:type="gramEnd"/>
      <w:r>
        <w:t xml:space="preserve"> </w:t>
      </w:r>
      <w:r w:rsidR="00CA3C08">
        <w:t>Available</w:t>
      </w:r>
      <w:r>
        <w:t xml:space="preserve"> at:</w:t>
      </w:r>
      <w:r w:rsidR="00A7321E">
        <w:t xml:space="preserve"> </w:t>
      </w:r>
      <w:hyperlink r:id="rId20" w:history="1">
        <w:r w:rsidR="00690BCE" w:rsidRPr="00FD6F5F">
          <w:rPr>
            <w:rStyle w:val="Hyperlink"/>
          </w:rPr>
          <w:t>http://library.ahima.org/xpedio/groups/public/documents/ahima/bok1_049822.pdf</w:t>
        </w:r>
      </w:hyperlink>
      <w:r>
        <w:t>.</w:t>
      </w:r>
      <w:r w:rsidR="00690BCE">
        <w:t xml:space="preserve"> </w:t>
      </w:r>
      <w:proofErr w:type="gramStart"/>
      <w:r w:rsidR="00690BCE">
        <w:t>Accessed June 24, 2014.</w:t>
      </w:r>
      <w:proofErr w:type="gramEnd"/>
    </w:p>
    <w:p w14:paraId="30A9FD82" w14:textId="194CEE66" w:rsidR="00FE7318" w:rsidRDefault="000C4E6A" w:rsidP="00CA3C08">
      <w:proofErr w:type="gramStart"/>
      <w:r w:rsidRPr="00102336">
        <w:t>American Hospital Association</w:t>
      </w:r>
      <w:r>
        <w:t>.</w:t>
      </w:r>
      <w:proofErr w:type="gramEnd"/>
      <w:r w:rsidRPr="000A0EA4">
        <w:t xml:space="preserve"> </w:t>
      </w:r>
      <w:proofErr w:type="gramStart"/>
      <w:r w:rsidR="00102336" w:rsidRPr="000A0EA4">
        <w:t xml:space="preserve">Coding </w:t>
      </w:r>
      <w:r w:rsidR="00CA3C08" w:rsidRPr="000A0EA4">
        <w:t>c</w:t>
      </w:r>
      <w:r w:rsidR="00102336" w:rsidRPr="000A0EA4">
        <w:t xml:space="preserve">linic for ICD-9-CM </w:t>
      </w:r>
      <w:r w:rsidR="00CA3C08" w:rsidRPr="000A0EA4">
        <w:t>a</w:t>
      </w:r>
      <w:r w:rsidR="00102336" w:rsidRPr="000A0EA4">
        <w:t xml:space="preserve">nnual </w:t>
      </w:r>
      <w:r w:rsidR="00CA3C08" w:rsidRPr="000A0EA4">
        <w:t>s</w:t>
      </w:r>
      <w:r w:rsidR="00102336" w:rsidRPr="000A0EA4">
        <w:t>ubscription</w:t>
      </w:r>
      <w:r w:rsidR="00CA3C08" w:rsidRPr="000A0EA4">
        <w:t>.</w:t>
      </w:r>
      <w:proofErr w:type="gramEnd"/>
      <w:r w:rsidR="00102336" w:rsidRPr="00CA3C08">
        <w:t xml:space="preserve"> </w:t>
      </w:r>
      <w:proofErr w:type="spellStart"/>
      <w:r w:rsidR="00102336">
        <w:t>Chicago</w:t>
      </w:r>
      <w:proofErr w:type="gramStart"/>
      <w:r w:rsidR="00CA3C08">
        <w:t>:</w:t>
      </w:r>
      <w:r>
        <w:t>AHA</w:t>
      </w:r>
      <w:proofErr w:type="spellEnd"/>
      <w:proofErr w:type="gramEnd"/>
      <w:r w:rsidR="00CA3C08">
        <w:t xml:space="preserve">; </w:t>
      </w:r>
      <w:r w:rsidR="00102336">
        <w:t>201</w:t>
      </w:r>
      <w:r w:rsidR="007B38A8">
        <w:t>3</w:t>
      </w:r>
      <w:r w:rsidR="00102336">
        <w:t>.</w:t>
      </w:r>
      <w:r w:rsidR="00FE7318">
        <w:t xml:space="preserve"> </w:t>
      </w:r>
    </w:p>
    <w:p w14:paraId="30A9FD83" w14:textId="37627D79" w:rsidR="005000B6" w:rsidRDefault="005000B6" w:rsidP="002049CB">
      <w:proofErr w:type="spellStart"/>
      <w:r>
        <w:t>Ballentine</w:t>
      </w:r>
      <w:proofErr w:type="spellEnd"/>
      <w:r w:rsidRPr="0099571F">
        <w:t xml:space="preserve"> </w:t>
      </w:r>
      <w:r>
        <w:t>NH.</w:t>
      </w:r>
      <w:r w:rsidR="00612A3E">
        <w:t xml:space="preserve"> </w:t>
      </w:r>
      <w:r>
        <w:t xml:space="preserve">Coding and </w:t>
      </w:r>
      <w:r w:rsidR="00CA3C08">
        <w:t>d</w:t>
      </w:r>
      <w:r>
        <w:t xml:space="preserve">ocumentation: Medicare </w:t>
      </w:r>
      <w:r w:rsidR="00445838">
        <w:t>s</w:t>
      </w:r>
      <w:r>
        <w:t xml:space="preserve">everity </w:t>
      </w:r>
      <w:r w:rsidR="00CA3C08">
        <w:t>d</w:t>
      </w:r>
      <w:r>
        <w:t>iagnosis-</w:t>
      </w:r>
      <w:r w:rsidR="00CA3C08">
        <w:t>r</w:t>
      </w:r>
      <w:r>
        <w:t xml:space="preserve">elated </w:t>
      </w:r>
      <w:r w:rsidR="00CA3C08">
        <w:t>g</w:t>
      </w:r>
      <w:r>
        <w:t xml:space="preserve">roups and </w:t>
      </w:r>
      <w:r w:rsidR="00CA3C08">
        <w:t>p</w:t>
      </w:r>
      <w:r>
        <w:t>resent-on-</w:t>
      </w:r>
      <w:r w:rsidR="00CA3C08">
        <w:t>a</w:t>
      </w:r>
      <w:r>
        <w:t xml:space="preserve">dmission </w:t>
      </w:r>
      <w:r w:rsidR="00CA3C08">
        <w:t>d</w:t>
      </w:r>
      <w:r>
        <w:t>ocumentation</w:t>
      </w:r>
      <w:r w:rsidR="00CA3C08">
        <w:t>.</w:t>
      </w:r>
      <w:r>
        <w:t xml:space="preserve"> </w:t>
      </w:r>
      <w:r w:rsidRPr="000A0EA4">
        <w:t xml:space="preserve">J </w:t>
      </w:r>
      <w:proofErr w:type="spellStart"/>
      <w:r w:rsidRPr="000A0EA4">
        <w:t>Hosp</w:t>
      </w:r>
      <w:proofErr w:type="spellEnd"/>
      <w:r w:rsidRPr="000A0EA4">
        <w:t xml:space="preserve"> Med</w:t>
      </w:r>
      <w:r>
        <w:t xml:space="preserve"> </w:t>
      </w:r>
      <w:r w:rsidR="00CA3C08">
        <w:t>2009</w:t>
      </w:r>
      <w:proofErr w:type="gramStart"/>
      <w:r w:rsidR="00CA3C08">
        <w:t>;</w:t>
      </w:r>
      <w:r>
        <w:t>4:124</w:t>
      </w:r>
      <w:proofErr w:type="gramEnd"/>
      <w:r w:rsidR="001927C8">
        <w:t>-</w:t>
      </w:r>
      <w:r>
        <w:t xml:space="preserve">30. </w:t>
      </w:r>
    </w:p>
    <w:p w14:paraId="30A9FD84" w14:textId="40770790" w:rsidR="005000B6" w:rsidRDefault="005000B6" w:rsidP="002049CB">
      <w:proofErr w:type="spellStart"/>
      <w:proofErr w:type="gramStart"/>
      <w:r>
        <w:t>Orcutt</w:t>
      </w:r>
      <w:proofErr w:type="spellEnd"/>
      <w:r w:rsidRPr="00A21AAF">
        <w:t xml:space="preserve"> </w:t>
      </w:r>
      <w:r>
        <w:t>R.</w:t>
      </w:r>
      <w:r w:rsidR="00612A3E">
        <w:t xml:space="preserve"> </w:t>
      </w:r>
      <w:r w:rsidRPr="000A0EA4">
        <w:t xml:space="preserve">Common </w:t>
      </w:r>
      <w:r w:rsidR="00CA3C08" w:rsidRPr="000A0EA4">
        <w:t>c</w:t>
      </w:r>
      <w:r w:rsidRPr="000A0EA4">
        <w:t xml:space="preserve">oding </w:t>
      </w:r>
      <w:r w:rsidR="00CA3C08" w:rsidRPr="000A0EA4">
        <w:t>e</w:t>
      </w:r>
      <w:r w:rsidRPr="000A0EA4">
        <w:t xml:space="preserve">rrors and </w:t>
      </w:r>
      <w:r w:rsidR="00CA3C08" w:rsidRPr="000A0EA4">
        <w:t>h</w:t>
      </w:r>
      <w:r w:rsidRPr="000A0EA4">
        <w:t xml:space="preserve">ow to </w:t>
      </w:r>
      <w:r w:rsidR="00CA3C08" w:rsidRPr="000A0EA4">
        <w:t>p</w:t>
      </w:r>
      <w:r w:rsidRPr="000A0EA4">
        <w:t xml:space="preserve">revent </w:t>
      </w:r>
      <w:r w:rsidR="00CA3C08" w:rsidRPr="000A0EA4">
        <w:t>t</w:t>
      </w:r>
      <w:r w:rsidRPr="000A0EA4">
        <w:t>hem</w:t>
      </w:r>
      <w:r w:rsidR="00CA3C08">
        <w:rPr>
          <w:i/>
          <w:iCs/>
        </w:rPr>
        <w:t>.</w:t>
      </w:r>
      <w:proofErr w:type="gramEnd"/>
      <w:r>
        <w:t xml:space="preserve"> June 2009.</w:t>
      </w:r>
      <w:r w:rsidR="00612A3E">
        <w:t xml:space="preserve"> </w:t>
      </w:r>
      <w:r w:rsidR="00CA3C08">
        <w:t xml:space="preserve">Available at: </w:t>
      </w:r>
      <w:hyperlink r:id="rId21" w:history="1">
        <w:r w:rsidR="00690BCE" w:rsidRPr="00690BCE">
          <w:rPr>
            <w:rStyle w:val="Hyperlink"/>
          </w:rPr>
          <w:t>http://www.clinical-insights.com/resources-June09CodingErrors.html</w:t>
        </w:r>
      </w:hyperlink>
      <w:r w:rsidR="00690BCE" w:rsidRPr="001426A1">
        <w:t xml:space="preserve">. </w:t>
      </w:r>
      <w:proofErr w:type="gramStart"/>
      <w:r w:rsidR="00690BCE" w:rsidRPr="001426A1">
        <w:t>Accessed November 11</w:t>
      </w:r>
      <w:r w:rsidR="00340A3E" w:rsidRPr="00690BCE">
        <w:t>,</w:t>
      </w:r>
      <w:r w:rsidR="00340A3E">
        <w:t xml:space="preserve"> 2013</w:t>
      </w:r>
      <w:r w:rsidR="00CA3C08">
        <w:t>.</w:t>
      </w:r>
      <w:proofErr w:type="gramEnd"/>
      <w:r w:rsidR="00CA3C08" w:rsidDel="00CA3C08">
        <w:t xml:space="preserve"> </w:t>
      </w:r>
    </w:p>
    <w:p w14:paraId="30A9FD85" w14:textId="47185AE7" w:rsidR="005000B6" w:rsidRDefault="005000B6" w:rsidP="002049CB">
      <w:proofErr w:type="spellStart"/>
      <w:proofErr w:type="gramStart"/>
      <w:r>
        <w:lastRenderedPageBreak/>
        <w:t>Preskitt</w:t>
      </w:r>
      <w:proofErr w:type="spellEnd"/>
      <w:r>
        <w:t xml:space="preserve"> JT.</w:t>
      </w:r>
      <w:r w:rsidR="00612A3E">
        <w:t xml:space="preserve"> </w:t>
      </w:r>
      <w:r w:rsidRPr="000A0EA4">
        <w:t xml:space="preserve">CPT and ICD-9-CM </w:t>
      </w:r>
      <w:r w:rsidR="00CA3C08" w:rsidRPr="000A0EA4">
        <w:t>c</w:t>
      </w:r>
      <w:r w:rsidRPr="000A0EA4">
        <w:t xml:space="preserve">oding for </w:t>
      </w:r>
      <w:r w:rsidR="00CA3C08" w:rsidRPr="000A0EA4">
        <w:t>s</w:t>
      </w:r>
      <w:r w:rsidRPr="000A0EA4">
        <w:t xml:space="preserve">urgical </w:t>
      </w:r>
      <w:r w:rsidR="00CA3C08" w:rsidRPr="000A0EA4">
        <w:t>r</w:t>
      </w:r>
      <w:r w:rsidRPr="000A0EA4">
        <w:t xml:space="preserve">esidents and </w:t>
      </w:r>
      <w:r w:rsidR="00CA3C08" w:rsidRPr="000A0EA4">
        <w:t>n</w:t>
      </w:r>
      <w:r w:rsidRPr="000A0EA4">
        <w:t xml:space="preserve">ew </w:t>
      </w:r>
      <w:r w:rsidR="00CA3C08" w:rsidRPr="000A0EA4">
        <w:t>s</w:t>
      </w:r>
      <w:r w:rsidRPr="000A0EA4">
        <w:t xml:space="preserve">urgeons in </w:t>
      </w:r>
      <w:r w:rsidR="00CA3C08" w:rsidRPr="000A0EA4">
        <w:t>p</w:t>
      </w:r>
      <w:r w:rsidRPr="000A0EA4">
        <w:t>ractice</w:t>
      </w:r>
      <w:r w:rsidR="00CA3C08">
        <w:rPr>
          <w:i/>
          <w:iCs/>
        </w:rPr>
        <w:t>.</w:t>
      </w:r>
      <w:proofErr w:type="gramEnd"/>
      <w:r>
        <w:t xml:space="preserve"> </w:t>
      </w:r>
      <w:r w:rsidR="00CA3C08">
        <w:t xml:space="preserve">Chicago: </w:t>
      </w:r>
      <w:r>
        <w:t>American College of Surgeons</w:t>
      </w:r>
      <w:r w:rsidR="00CA3C08">
        <w:t>;</w:t>
      </w:r>
      <w:r>
        <w:t xml:space="preserve"> 2005.</w:t>
      </w:r>
    </w:p>
    <w:p w14:paraId="30A9FD86" w14:textId="7C3175DB" w:rsidR="005000B6" w:rsidRDefault="000C4E6A" w:rsidP="002049CB">
      <w:proofErr w:type="gramStart"/>
      <w:r>
        <w:t xml:space="preserve">University </w:t>
      </w:r>
      <w:proofErr w:type="spellStart"/>
      <w:r>
        <w:t>HealthSystem</w:t>
      </w:r>
      <w:proofErr w:type="spellEnd"/>
      <w:r>
        <w:t xml:space="preserve"> Consortium.</w:t>
      </w:r>
      <w:proofErr w:type="gramEnd"/>
      <w:r w:rsidRPr="000A0EA4">
        <w:t xml:space="preserve"> </w:t>
      </w:r>
      <w:r w:rsidR="005000B6" w:rsidRPr="000A0EA4">
        <w:t xml:space="preserve">Clinical </w:t>
      </w:r>
      <w:r w:rsidR="00CA3C08" w:rsidRPr="000A0EA4">
        <w:t>d</w:t>
      </w:r>
      <w:r w:rsidR="005000B6" w:rsidRPr="000A0EA4">
        <w:t xml:space="preserve">ocumentation </w:t>
      </w:r>
      <w:r w:rsidR="00CA3C08" w:rsidRPr="000A0EA4">
        <w:t>c</w:t>
      </w:r>
      <w:r w:rsidR="005000B6" w:rsidRPr="000A0EA4">
        <w:t xml:space="preserve">hallenges: </w:t>
      </w:r>
      <w:r w:rsidR="00CA3C08" w:rsidRPr="000A0EA4">
        <w:t>b</w:t>
      </w:r>
      <w:r w:rsidR="005000B6" w:rsidRPr="000A0EA4">
        <w:t xml:space="preserve">enchmarking </w:t>
      </w:r>
      <w:r w:rsidR="00CA3C08" w:rsidRPr="000A0EA4">
        <w:t>p</w:t>
      </w:r>
      <w:r w:rsidR="005000B6" w:rsidRPr="000A0EA4">
        <w:t xml:space="preserve">roject </w:t>
      </w:r>
      <w:r w:rsidR="00CA3C08" w:rsidRPr="000A0EA4">
        <w:t>f</w:t>
      </w:r>
      <w:r w:rsidR="005000B6" w:rsidRPr="000A0EA4">
        <w:t xml:space="preserve">ield </w:t>
      </w:r>
      <w:r w:rsidR="00CA3C08" w:rsidRPr="000A0EA4">
        <w:t>b</w:t>
      </w:r>
      <w:r w:rsidR="005000B6" w:rsidRPr="000A0EA4">
        <w:t>ook</w:t>
      </w:r>
      <w:r w:rsidR="00CA3C08" w:rsidRPr="000A0EA4">
        <w:t>.</w:t>
      </w:r>
      <w:r w:rsidR="005000B6" w:rsidRPr="00CA3C08">
        <w:t xml:space="preserve"> </w:t>
      </w:r>
      <w:r w:rsidR="005000B6">
        <w:t>Chicago</w:t>
      </w:r>
      <w:r w:rsidR="00CA3C08">
        <w:t>:</w:t>
      </w:r>
      <w:r w:rsidR="005000B6">
        <w:t xml:space="preserve"> </w:t>
      </w:r>
      <w:r w:rsidR="00CA3C08">
        <w:t xml:space="preserve">UHC; </w:t>
      </w:r>
      <w:r w:rsidR="005000B6">
        <w:t>2009</w:t>
      </w:r>
      <w:r w:rsidR="005000B6" w:rsidRPr="00637D58">
        <w:t>.</w:t>
      </w:r>
    </w:p>
    <w:p w14:paraId="30A9FD87" w14:textId="1380091A" w:rsidR="00A43E8E" w:rsidRDefault="000C4E6A" w:rsidP="002049CB">
      <w:proofErr w:type="gramStart"/>
      <w:r>
        <w:t>UHC.</w:t>
      </w:r>
      <w:proofErr w:type="gramEnd"/>
      <w:r>
        <w:t xml:space="preserve"> </w:t>
      </w:r>
      <w:proofErr w:type="gramStart"/>
      <w:r w:rsidR="00CA3C08" w:rsidRPr="00CA3C08">
        <w:t>Clinical documentation improvement collaborative field brief</w:t>
      </w:r>
      <w:r w:rsidR="00A43E8E">
        <w:rPr>
          <w:i/>
          <w:iCs/>
        </w:rPr>
        <w:t>.</w:t>
      </w:r>
      <w:proofErr w:type="gramEnd"/>
      <w:r w:rsidR="00A43E8E">
        <w:rPr>
          <w:i/>
          <w:iCs/>
        </w:rPr>
        <w:t xml:space="preserve"> </w:t>
      </w:r>
      <w:r w:rsidR="00A43E8E">
        <w:rPr>
          <w:iCs/>
        </w:rPr>
        <w:t>Chicago: UHC; 2010.</w:t>
      </w:r>
      <w:r w:rsidR="00A43E8E">
        <w:t xml:space="preserve"> </w:t>
      </w:r>
    </w:p>
    <w:p w14:paraId="30A9FD88" w14:textId="77777777" w:rsidR="005000B6" w:rsidRDefault="005000B6" w:rsidP="00103873">
      <w:pPr>
        <w:pStyle w:val="Heading2"/>
        <w:spacing w:after="60"/>
      </w:pPr>
      <w:r>
        <w:t>PSI Documentation and Coding Issues</w:t>
      </w:r>
    </w:p>
    <w:p w14:paraId="7021DC69" w14:textId="77777777" w:rsidR="000C4E6A" w:rsidRDefault="000C4E6A" w:rsidP="000C4E6A">
      <w:proofErr w:type="spellStart"/>
      <w:r w:rsidRPr="001927C8">
        <w:t>Bahl</w:t>
      </w:r>
      <w:proofErr w:type="spellEnd"/>
      <w:r w:rsidRPr="001927C8">
        <w:t xml:space="preserve"> V, Thompson MA, </w:t>
      </w:r>
      <w:proofErr w:type="spellStart"/>
      <w:r w:rsidRPr="001927C8">
        <w:t>Kau</w:t>
      </w:r>
      <w:proofErr w:type="spellEnd"/>
      <w:r w:rsidRPr="001927C8">
        <w:t xml:space="preserve"> TY</w:t>
      </w:r>
      <w:r>
        <w:t xml:space="preserve">, </w:t>
      </w:r>
      <w:r w:rsidRPr="00CB710C">
        <w:t xml:space="preserve">et al. Do the AHRQ Patient Safety Indicators </w:t>
      </w:r>
      <w:r>
        <w:t>f</w:t>
      </w:r>
      <w:r w:rsidRPr="00CB710C">
        <w:t xml:space="preserve">lag </w:t>
      </w:r>
      <w:r>
        <w:t>c</w:t>
      </w:r>
      <w:r w:rsidRPr="00CB710C">
        <w:t xml:space="preserve">onditions </w:t>
      </w:r>
      <w:r>
        <w:t>t</w:t>
      </w:r>
      <w:r w:rsidRPr="00CB710C">
        <w:t xml:space="preserve">hat </w:t>
      </w:r>
      <w:r>
        <w:t>a</w:t>
      </w:r>
      <w:r w:rsidRPr="00CB710C">
        <w:t xml:space="preserve">re </w:t>
      </w:r>
      <w:r>
        <w:t>p</w:t>
      </w:r>
      <w:r w:rsidRPr="00CB710C">
        <w:t xml:space="preserve">resent at the </w:t>
      </w:r>
      <w:r>
        <w:t>t</w:t>
      </w:r>
      <w:r w:rsidRPr="00CB710C">
        <w:t xml:space="preserve">ime of </w:t>
      </w:r>
      <w:r>
        <w:t>h</w:t>
      </w:r>
      <w:r w:rsidRPr="00CB710C">
        <w:t xml:space="preserve">ospital </w:t>
      </w:r>
      <w:r>
        <w:t>a</w:t>
      </w:r>
      <w:r w:rsidRPr="00CB710C">
        <w:t xml:space="preserve">dmission? </w:t>
      </w:r>
      <w:r w:rsidRPr="000A0EA4">
        <w:t>Med Care</w:t>
      </w:r>
      <w:r w:rsidRPr="00CB710C">
        <w:t xml:space="preserve"> 2008</w:t>
      </w:r>
      <w:proofErr w:type="gramStart"/>
      <w:r>
        <w:t>;</w:t>
      </w:r>
      <w:r w:rsidRPr="00CB710C">
        <w:t>46</w:t>
      </w:r>
      <w:proofErr w:type="gramEnd"/>
      <w:r w:rsidRPr="00CB710C">
        <w:t>(5)</w:t>
      </w:r>
      <w:r>
        <w:t>:</w:t>
      </w:r>
      <w:r w:rsidRPr="00CB710C">
        <w:t>516-22.</w:t>
      </w:r>
    </w:p>
    <w:p w14:paraId="30A9FD89" w14:textId="77777777" w:rsidR="005000B6" w:rsidRDefault="005000B6" w:rsidP="00986059">
      <w:proofErr w:type="spellStart"/>
      <w:proofErr w:type="gramStart"/>
      <w:r w:rsidRPr="0041658C">
        <w:t>Behal</w:t>
      </w:r>
      <w:proofErr w:type="spellEnd"/>
      <w:r w:rsidRPr="0041658C">
        <w:t xml:space="preserve"> R. Post-operative hemorrhage or hematoma (AHRQ Patient Safety Indicator).</w:t>
      </w:r>
      <w:proofErr w:type="gramEnd"/>
      <w:r w:rsidRPr="0041658C">
        <w:t xml:space="preserve"> </w:t>
      </w:r>
      <w:proofErr w:type="gramStart"/>
      <w:r w:rsidRPr="0041658C">
        <w:t>Dissecting the Red Dot.</w:t>
      </w:r>
      <w:proofErr w:type="gramEnd"/>
      <w:r w:rsidRPr="0041658C">
        <w:t xml:space="preserve"> </w:t>
      </w:r>
      <w:proofErr w:type="gramStart"/>
      <w:r w:rsidRPr="0041658C">
        <w:t>UHC Presentation/Guideline.</w:t>
      </w:r>
      <w:proofErr w:type="gramEnd"/>
    </w:p>
    <w:p w14:paraId="30A9FD8B" w14:textId="5FAB7242" w:rsidR="005000B6" w:rsidRDefault="005000B6" w:rsidP="00315311">
      <w:proofErr w:type="spellStart"/>
      <w:r w:rsidRPr="001927C8">
        <w:t>Cevasco</w:t>
      </w:r>
      <w:proofErr w:type="spellEnd"/>
      <w:r w:rsidRPr="001927C8">
        <w:t xml:space="preserve"> </w:t>
      </w:r>
      <w:r w:rsidR="001927C8" w:rsidRPr="001927C8">
        <w:t xml:space="preserve">M, </w:t>
      </w:r>
      <w:proofErr w:type="spellStart"/>
      <w:r w:rsidR="001927C8" w:rsidRPr="001927C8">
        <w:t>Borzecki</w:t>
      </w:r>
      <w:proofErr w:type="spellEnd"/>
      <w:r w:rsidR="001927C8" w:rsidRPr="001927C8">
        <w:t xml:space="preserve"> AM, O</w:t>
      </w:r>
      <w:r w:rsidR="001927C8">
        <w:t>’</w:t>
      </w:r>
      <w:r w:rsidR="001927C8" w:rsidRPr="001927C8">
        <w:t>Brien WJ,</w:t>
      </w:r>
      <w:r w:rsidR="001927C8">
        <w:t xml:space="preserve"> et al. </w:t>
      </w:r>
      <w:r w:rsidRPr="00C653D8">
        <w:t xml:space="preserve">Validity of the AHRQ Patient Safety Indicator </w:t>
      </w:r>
      <w:r w:rsidR="001927C8">
        <w:t>“</w:t>
      </w:r>
      <w:r w:rsidRPr="00C653D8">
        <w:t>central venous catheter-related bloodstream infections</w:t>
      </w:r>
      <w:r w:rsidR="001927C8">
        <w:t>.”</w:t>
      </w:r>
      <w:r w:rsidRPr="00C653D8">
        <w:t xml:space="preserve"> </w:t>
      </w:r>
      <w:r w:rsidRPr="000A0EA4">
        <w:t xml:space="preserve">J Am </w:t>
      </w:r>
      <w:proofErr w:type="spellStart"/>
      <w:r w:rsidRPr="000A0EA4">
        <w:t>Coll</w:t>
      </w:r>
      <w:proofErr w:type="spellEnd"/>
      <w:r w:rsidRPr="000A0EA4">
        <w:t xml:space="preserve"> </w:t>
      </w:r>
      <w:proofErr w:type="spellStart"/>
      <w:r w:rsidRPr="000A0EA4">
        <w:t>Surg</w:t>
      </w:r>
      <w:proofErr w:type="spellEnd"/>
      <w:r w:rsidRPr="00C653D8">
        <w:t xml:space="preserve"> </w:t>
      </w:r>
      <w:r w:rsidR="001927C8">
        <w:t>2011</w:t>
      </w:r>
      <w:proofErr w:type="gramStart"/>
      <w:r w:rsidR="001927C8">
        <w:t>;</w:t>
      </w:r>
      <w:r w:rsidRPr="00C653D8">
        <w:t>212</w:t>
      </w:r>
      <w:proofErr w:type="gramEnd"/>
      <w:r w:rsidRPr="00C653D8">
        <w:t>(6):984-90.</w:t>
      </w:r>
      <w:r w:rsidR="00445838">
        <w:t xml:space="preserve"> Available at: </w:t>
      </w:r>
      <w:hyperlink r:id="rId22" w:history="1">
        <w:r w:rsidR="00445838" w:rsidRPr="00864960">
          <w:rPr>
            <w:rStyle w:val="Hyperlink"/>
          </w:rPr>
          <w:t>http://www.sciencedirect.com/science/article/pii/S1072751511001189</w:t>
        </w:r>
      </w:hyperlink>
      <w:r w:rsidR="00445838">
        <w:t xml:space="preserve">. </w:t>
      </w:r>
      <w:proofErr w:type="gramStart"/>
      <w:r w:rsidR="00445838">
        <w:t>Accessed June 27, 2014.</w:t>
      </w:r>
      <w:proofErr w:type="gramEnd"/>
    </w:p>
    <w:p w14:paraId="55202AF1" w14:textId="77777777" w:rsidR="000C4E6A" w:rsidRDefault="000C4E6A" w:rsidP="000C4E6A">
      <w:proofErr w:type="spellStart"/>
      <w:r w:rsidRPr="00D31BF3">
        <w:t>Gallager</w:t>
      </w:r>
      <w:proofErr w:type="spellEnd"/>
      <w:r w:rsidRPr="00D31BF3">
        <w:t xml:space="preserve"> B</w:t>
      </w:r>
      <w:r w:rsidRPr="00E53132">
        <w:t xml:space="preserve">, Cen L, </w:t>
      </w:r>
      <w:proofErr w:type="spellStart"/>
      <w:r w:rsidRPr="00E53132">
        <w:t>Hannan</w:t>
      </w:r>
      <w:proofErr w:type="spellEnd"/>
      <w:r w:rsidRPr="00E53132">
        <w:t xml:space="preserve"> EL. </w:t>
      </w:r>
      <w:r w:rsidRPr="00D31BF3">
        <w:t>Validation of AHRQ</w:t>
      </w:r>
      <w:r>
        <w:t>’</w:t>
      </w:r>
      <w:r w:rsidRPr="00D31BF3">
        <w:t>s Patient Safety Indicator for accidental puncture and laceration.</w:t>
      </w:r>
      <w:r>
        <w:t xml:space="preserve"> In: </w:t>
      </w:r>
      <w:proofErr w:type="spellStart"/>
      <w:r>
        <w:t>Henriksen</w:t>
      </w:r>
      <w:proofErr w:type="spellEnd"/>
      <w:r>
        <w:t xml:space="preserve"> K, Battles JB, Marks ES, et al., eds. </w:t>
      </w:r>
      <w:r w:rsidRPr="000A0EA4">
        <w:t>Advances in Patient Safety: From Research to Implementation</w:t>
      </w:r>
      <w:r>
        <w:t xml:space="preserve"> (Volume 2: Concepts and Methodology). Rockville, MD: Agency for Healthcare Research and Quality; 2005. Available at: </w:t>
      </w:r>
      <w:hyperlink r:id="rId23" w:history="1">
        <w:r w:rsidRPr="00E53132">
          <w:rPr>
            <w:rStyle w:val="Hyperlink"/>
          </w:rPr>
          <w:t>www.ncbi.nlm.nih.gov/books/NBK20515/</w:t>
        </w:r>
      </w:hyperlink>
      <w:r>
        <w:t>.</w:t>
      </w:r>
    </w:p>
    <w:p w14:paraId="30A9FD8C" w14:textId="2C920734" w:rsidR="005000B6" w:rsidRDefault="005000B6" w:rsidP="00315311">
      <w:r w:rsidRPr="001927C8">
        <w:t xml:space="preserve">Glance </w:t>
      </w:r>
      <w:r w:rsidR="001927C8" w:rsidRPr="001927C8">
        <w:t>LG, Li Y, Osler TM,</w:t>
      </w:r>
      <w:r w:rsidR="001927C8">
        <w:t xml:space="preserve"> </w:t>
      </w:r>
      <w:r w:rsidRPr="00467DAC">
        <w:t xml:space="preserve">et al. Impact of date stamping on patient safety measurements in patients undergoing CABG: </w:t>
      </w:r>
      <w:r w:rsidR="001927C8">
        <w:t>e</w:t>
      </w:r>
      <w:r w:rsidRPr="00467DAC">
        <w:t xml:space="preserve">xperience with AHRQ Patient Safety Indicators. </w:t>
      </w:r>
      <w:r w:rsidRPr="000A0EA4">
        <w:t xml:space="preserve">BMC Health </w:t>
      </w:r>
      <w:proofErr w:type="spellStart"/>
      <w:r w:rsidRPr="000A0EA4">
        <w:t>Serv</w:t>
      </w:r>
      <w:proofErr w:type="spellEnd"/>
      <w:r w:rsidRPr="000A0EA4">
        <w:t xml:space="preserve"> Res</w:t>
      </w:r>
      <w:r w:rsidRPr="00467DAC">
        <w:t xml:space="preserve"> </w:t>
      </w:r>
      <w:r w:rsidR="001927C8">
        <w:t>2008 Aug 13</w:t>
      </w:r>
      <w:proofErr w:type="gramStart"/>
      <w:r w:rsidR="001927C8">
        <w:t>;</w:t>
      </w:r>
      <w:r w:rsidRPr="00467DAC">
        <w:t>8:176</w:t>
      </w:r>
      <w:proofErr w:type="gramEnd"/>
      <w:r>
        <w:t xml:space="preserve">. </w:t>
      </w:r>
      <w:r w:rsidR="00445838">
        <w:t xml:space="preserve">Available at: </w:t>
      </w:r>
      <w:hyperlink r:id="rId24" w:history="1">
        <w:r w:rsidR="00445838" w:rsidRPr="00864960">
          <w:rPr>
            <w:rStyle w:val="Hyperlink"/>
          </w:rPr>
          <w:t>http://www.ncbi.nlm.nih.gov/pmc/articles/PMC2529290/</w:t>
        </w:r>
      </w:hyperlink>
      <w:r w:rsidR="00445838">
        <w:t xml:space="preserve">. </w:t>
      </w:r>
      <w:proofErr w:type="gramStart"/>
      <w:r w:rsidR="00445838">
        <w:t>Accessed June 27, 2014.</w:t>
      </w:r>
      <w:proofErr w:type="gramEnd"/>
    </w:p>
    <w:p w14:paraId="30A9FD8D" w14:textId="45C9684C" w:rsidR="005000B6" w:rsidRDefault="005000B6" w:rsidP="00315311">
      <w:proofErr w:type="spellStart"/>
      <w:proofErr w:type="gramStart"/>
      <w:r w:rsidRPr="00AC2967">
        <w:t>Grobman</w:t>
      </w:r>
      <w:proofErr w:type="spellEnd"/>
      <w:r w:rsidRPr="00AC2967">
        <w:t xml:space="preserve"> </w:t>
      </w:r>
      <w:r w:rsidR="001927C8" w:rsidRPr="001927C8">
        <w:t xml:space="preserve">WA, </w:t>
      </w:r>
      <w:proofErr w:type="spellStart"/>
      <w:r w:rsidR="001927C8" w:rsidRPr="001927C8">
        <w:t>Feinglass</w:t>
      </w:r>
      <w:proofErr w:type="spellEnd"/>
      <w:r w:rsidR="001927C8" w:rsidRPr="001927C8">
        <w:t xml:space="preserve"> J, Murthy S</w:t>
      </w:r>
      <w:r w:rsidRPr="00AC2967">
        <w:t>.</w:t>
      </w:r>
      <w:proofErr w:type="gramEnd"/>
      <w:r w:rsidRPr="00AC2967">
        <w:t xml:space="preserve"> </w:t>
      </w:r>
      <w:proofErr w:type="gramStart"/>
      <w:r w:rsidRPr="00AC2967">
        <w:t>Are</w:t>
      </w:r>
      <w:proofErr w:type="gramEnd"/>
      <w:r w:rsidRPr="00AC2967">
        <w:t xml:space="preserve"> the Agency for Healthcare Research and Quality obstetric trauma indicators valid measures of hospital safety? </w:t>
      </w:r>
      <w:r w:rsidRPr="000A0EA4">
        <w:t xml:space="preserve">Am J </w:t>
      </w:r>
      <w:proofErr w:type="spellStart"/>
      <w:r w:rsidRPr="000A0EA4">
        <w:t>Obstet</w:t>
      </w:r>
      <w:proofErr w:type="spellEnd"/>
      <w:r w:rsidRPr="000A0EA4">
        <w:t xml:space="preserve"> </w:t>
      </w:r>
      <w:proofErr w:type="spellStart"/>
      <w:r w:rsidRPr="000A0EA4">
        <w:t>Gynecol</w:t>
      </w:r>
      <w:proofErr w:type="spellEnd"/>
      <w:r w:rsidRPr="00AC2967">
        <w:t xml:space="preserve"> </w:t>
      </w:r>
      <w:r w:rsidR="001927C8">
        <w:t>2006</w:t>
      </w:r>
      <w:proofErr w:type="gramStart"/>
      <w:r w:rsidR="001927C8">
        <w:t>;</w:t>
      </w:r>
      <w:r w:rsidRPr="00AC2967">
        <w:t>195</w:t>
      </w:r>
      <w:proofErr w:type="gramEnd"/>
      <w:r w:rsidRPr="00AC2967">
        <w:t>(3)</w:t>
      </w:r>
      <w:r w:rsidR="001927C8">
        <w:t>:</w:t>
      </w:r>
      <w:r w:rsidRPr="00AC2967">
        <w:t>868-74.</w:t>
      </w:r>
      <w:r w:rsidR="00445838">
        <w:t xml:space="preserve"> Available at: </w:t>
      </w:r>
      <w:hyperlink r:id="rId25" w:history="1">
        <w:r w:rsidR="00445838" w:rsidRPr="00864960">
          <w:rPr>
            <w:rStyle w:val="Hyperlink"/>
          </w:rPr>
          <w:t>http://www.sciencedirect.com/science/article/pii/S0002937806007447#</w:t>
        </w:r>
      </w:hyperlink>
      <w:r w:rsidR="00445838">
        <w:t xml:space="preserve">. </w:t>
      </w:r>
      <w:proofErr w:type="gramStart"/>
      <w:r w:rsidR="00445838">
        <w:t>Accessed June 27, 2014.</w:t>
      </w:r>
      <w:proofErr w:type="gramEnd"/>
    </w:p>
    <w:p w14:paraId="30A9FD90" w14:textId="77777777" w:rsidR="005000B6" w:rsidRDefault="005000B6" w:rsidP="00467DAC">
      <w:r w:rsidRPr="00CB710C">
        <w:t xml:space="preserve">Haut </w:t>
      </w:r>
      <w:r w:rsidR="002628A2" w:rsidRPr="002628A2">
        <w:t xml:space="preserve">ER, Noll K, </w:t>
      </w:r>
      <w:proofErr w:type="spellStart"/>
      <w:r w:rsidR="002628A2" w:rsidRPr="002628A2">
        <w:t>Efron</w:t>
      </w:r>
      <w:proofErr w:type="spellEnd"/>
      <w:r w:rsidR="002628A2" w:rsidRPr="002628A2">
        <w:t xml:space="preserve"> DT,</w:t>
      </w:r>
      <w:r w:rsidR="002628A2">
        <w:rPr>
          <w:rFonts w:ascii="Arial" w:hAnsi="Arial"/>
          <w:sz w:val="21"/>
          <w:szCs w:val="21"/>
        </w:rPr>
        <w:t xml:space="preserve"> </w:t>
      </w:r>
      <w:r w:rsidRPr="00CB710C">
        <w:t xml:space="preserve">et al. Can </w:t>
      </w:r>
      <w:r w:rsidR="002628A2">
        <w:t>i</w:t>
      </w:r>
      <w:r w:rsidRPr="00CB710C">
        <w:t xml:space="preserve">ncreased </w:t>
      </w:r>
      <w:r w:rsidR="002628A2">
        <w:t>i</w:t>
      </w:r>
      <w:r w:rsidRPr="00CB710C">
        <w:t xml:space="preserve">ncidence of </w:t>
      </w:r>
      <w:r w:rsidR="002628A2">
        <w:t>d</w:t>
      </w:r>
      <w:r w:rsidRPr="00CB710C">
        <w:t xml:space="preserve">eep </w:t>
      </w:r>
      <w:r w:rsidR="002628A2">
        <w:t>v</w:t>
      </w:r>
      <w:r w:rsidRPr="00CB710C">
        <w:t xml:space="preserve">ein </w:t>
      </w:r>
      <w:r w:rsidR="002628A2">
        <w:t>t</w:t>
      </w:r>
      <w:r w:rsidRPr="00CB710C">
        <w:t xml:space="preserve">hrombosis (DVT) be </w:t>
      </w:r>
      <w:r w:rsidR="002628A2">
        <w:t>u</w:t>
      </w:r>
      <w:r w:rsidRPr="00CB710C">
        <w:t xml:space="preserve">sed as a </w:t>
      </w:r>
      <w:r w:rsidR="002628A2">
        <w:t>m</w:t>
      </w:r>
      <w:r w:rsidRPr="00CB710C">
        <w:t xml:space="preserve">arker of </w:t>
      </w:r>
      <w:r w:rsidR="002628A2">
        <w:t>q</w:t>
      </w:r>
      <w:r w:rsidRPr="00CB710C">
        <w:t xml:space="preserve">uality of </w:t>
      </w:r>
      <w:r w:rsidR="002628A2">
        <w:t>c</w:t>
      </w:r>
      <w:r w:rsidRPr="00CB710C">
        <w:t xml:space="preserve">are in the </w:t>
      </w:r>
      <w:r w:rsidR="002628A2">
        <w:t>a</w:t>
      </w:r>
      <w:r w:rsidRPr="00CB710C">
        <w:t xml:space="preserve">bsence of </w:t>
      </w:r>
      <w:r w:rsidR="002628A2">
        <w:t>s</w:t>
      </w:r>
      <w:r w:rsidRPr="00CB710C">
        <w:t xml:space="preserve">tandardized </w:t>
      </w:r>
      <w:r w:rsidR="002628A2">
        <w:t>s</w:t>
      </w:r>
      <w:r w:rsidRPr="00CB710C">
        <w:t xml:space="preserve">creening? The </w:t>
      </w:r>
      <w:r w:rsidR="002628A2">
        <w:t>p</w:t>
      </w:r>
      <w:r w:rsidRPr="00CB710C">
        <w:t xml:space="preserve">otential </w:t>
      </w:r>
      <w:r w:rsidR="002628A2">
        <w:t>e</w:t>
      </w:r>
      <w:r w:rsidRPr="00CB710C">
        <w:t xml:space="preserve">ffect of </w:t>
      </w:r>
      <w:r w:rsidR="002628A2">
        <w:t>s</w:t>
      </w:r>
      <w:r w:rsidRPr="00CB710C">
        <w:t xml:space="preserve">urveillance </w:t>
      </w:r>
      <w:r w:rsidR="002628A2">
        <w:t>b</w:t>
      </w:r>
      <w:r w:rsidRPr="00CB710C">
        <w:t xml:space="preserve">ias on </w:t>
      </w:r>
      <w:r w:rsidR="002628A2">
        <w:t>r</w:t>
      </w:r>
      <w:r w:rsidRPr="00CB710C">
        <w:t xml:space="preserve">eported DVT </w:t>
      </w:r>
      <w:r w:rsidR="002628A2">
        <w:t>r</w:t>
      </w:r>
      <w:r w:rsidRPr="00CB710C">
        <w:t xml:space="preserve">ates after </w:t>
      </w:r>
      <w:r w:rsidR="002628A2">
        <w:t>t</w:t>
      </w:r>
      <w:r w:rsidRPr="00CB710C">
        <w:t xml:space="preserve">rauma. </w:t>
      </w:r>
      <w:r w:rsidRPr="000A0EA4">
        <w:t>J Trauma</w:t>
      </w:r>
      <w:r w:rsidRPr="00CB710C">
        <w:t xml:space="preserve"> </w:t>
      </w:r>
      <w:r w:rsidR="002628A2">
        <w:t>2007</w:t>
      </w:r>
      <w:proofErr w:type="gramStart"/>
      <w:r w:rsidR="002628A2">
        <w:t>;</w:t>
      </w:r>
      <w:r w:rsidRPr="00CB710C">
        <w:t>63</w:t>
      </w:r>
      <w:proofErr w:type="gramEnd"/>
      <w:r w:rsidRPr="00CB710C">
        <w:t>(5)</w:t>
      </w:r>
      <w:r w:rsidR="002628A2">
        <w:t>:</w:t>
      </w:r>
      <w:r w:rsidRPr="00CB710C">
        <w:t>1132-37.</w:t>
      </w:r>
    </w:p>
    <w:p w14:paraId="5E22697D" w14:textId="77777777" w:rsidR="000C4E6A" w:rsidRDefault="000C4E6A" w:rsidP="000C4E6A">
      <w:proofErr w:type="spellStart"/>
      <w:r w:rsidRPr="002628A2">
        <w:t>Houchens</w:t>
      </w:r>
      <w:proofErr w:type="spellEnd"/>
      <w:r w:rsidRPr="002628A2">
        <w:t xml:space="preserve"> RL, </w:t>
      </w:r>
      <w:proofErr w:type="spellStart"/>
      <w:r w:rsidRPr="002628A2">
        <w:t>Elixhauser</w:t>
      </w:r>
      <w:proofErr w:type="spellEnd"/>
      <w:r w:rsidRPr="002628A2">
        <w:t xml:space="preserve"> A, Romano PS.</w:t>
      </w:r>
      <w:r w:rsidRPr="00D75B1E">
        <w:t xml:space="preserve"> How often are potential patient </w:t>
      </w:r>
      <w:proofErr w:type="gramStart"/>
      <w:r w:rsidRPr="00D75B1E">
        <w:t>safety</w:t>
      </w:r>
      <w:proofErr w:type="gramEnd"/>
      <w:r w:rsidRPr="00D75B1E">
        <w:t xml:space="preserve"> events present on admission? </w:t>
      </w:r>
      <w:proofErr w:type="spellStart"/>
      <w:r w:rsidRPr="000A0EA4">
        <w:t>Jt</w:t>
      </w:r>
      <w:proofErr w:type="spellEnd"/>
      <w:r w:rsidRPr="000A0EA4">
        <w:t xml:space="preserve"> </w:t>
      </w:r>
      <w:proofErr w:type="spellStart"/>
      <w:r w:rsidRPr="000A0EA4">
        <w:t>Comm</w:t>
      </w:r>
      <w:proofErr w:type="spellEnd"/>
      <w:r w:rsidRPr="000A0EA4">
        <w:t xml:space="preserve"> J </w:t>
      </w:r>
      <w:proofErr w:type="spellStart"/>
      <w:r w:rsidRPr="000A0EA4">
        <w:t>Qual</w:t>
      </w:r>
      <w:proofErr w:type="spellEnd"/>
      <w:r w:rsidRPr="000A0EA4">
        <w:t xml:space="preserve"> Patient </w:t>
      </w:r>
      <w:proofErr w:type="spellStart"/>
      <w:r w:rsidRPr="000A0EA4">
        <w:t>Saf</w:t>
      </w:r>
      <w:proofErr w:type="spellEnd"/>
      <w:r>
        <w:t xml:space="preserve"> 2008</w:t>
      </w:r>
      <w:proofErr w:type="gramStart"/>
      <w:r>
        <w:t>;34</w:t>
      </w:r>
      <w:proofErr w:type="gramEnd"/>
      <w:r>
        <w:t xml:space="preserve">(3):154-63. </w:t>
      </w:r>
    </w:p>
    <w:p w14:paraId="30A9FD91" w14:textId="77777777" w:rsidR="005000B6" w:rsidRDefault="005000B6" w:rsidP="00315311">
      <w:proofErr w:type="spellStart"/>
      <w:proofErr w:type="gramStart"/>
      <w:r w:rsidRPr="00315311">
        <w:t>Iezzoni</w:t>
      </w:r>
      <w:proofErr w:type="spellEnd"/>
      <w:r w:rsidRPr="00315311">
        <w:t xml:space="preserve"> </w:t>
      </w:r>
      <w:r w:rsidR="002628A2" w:rsidRPr="000A0EA4">
        <w:t>LI, Foley SM, Daley J,</w:t>
      </w:r>
      <w:r w:rsidR="002628A2">
        <w:rPr>
          <w:rFonts w:ascii="Arial" w:hAnsi="Arial"/>
          <w:sz w:val="21"/>
          <w:szCs w:val="21"/>
        </w:rPr>
        <w:t xml:space="preserve"> </w:t>
      </w:r>
      <w:r w:rsidRPr="00315311">
        <w:t>et al. 1992.</w:t>
      </w:r>
      <w:proofErr w:type="gramEnd"/>
      <w:r w:rsidRPr="00315311">
        <w:t xml:space="preserve"> </w:t>
      </w:r>
      <w:proofErr w:type="gramStart"/>
      <w:r w:rsidRPr="00315311">
        <w:t xml:space="preserve">Comorbidities, </w:t>
      </w:r>
      <w:r w:rsidR="002628A2">
        <w:t>c</w:t>
      </w:r>
      <w:r w:rsidRPr="00315311">
        <w:t xml:space="preserve">omplications, and </w:t>
      </w:r>
      <w:r w:rsidR="002628A2">
        <w:t>c</w:t>
      </w:r>
      <w:r w:rsidRPr="00315311">
        <w:t xml:space="preserve">oding </w:t>
      </w:r>
      <w:r w:rsidR="002628A2">
        <w:t>b</w:t>
      </w:r>
      <w:r w:rsidRPr="00315311">
        <w:t>ias.</w:t>
      </w:r>
      <w:proofErr w:type="gramEnd"/>
      <w:r w:rsidRPr="00315311">
        <w:t xml:space="preserve"> Does </w:t>
      </w:r>
      <w:proofErr w:type="gramStart"/>
      <w:r w:rsidRPr="00315311">
        <w:t>the</w:t>
      </w:r>
      <w:proofErr w:type="gramEnd"/>
      <w:r w:rsidRPr="00315311">
        <w:t xml:space="preserve"> </w:t>
      </w:r>
      <w:r w:rsidR="002628A2">
        <w:t>n</w:t>
      </w:r>
      <w:r w:rsidRPr="00315311">
        <w:t xml:space="preserve">umber of </w:t>
      </w:r>
      <w:r w:rsidR="002628A2">
        <w:t>d</w:t>
      </w:r>
      <w:r w:rsidRPr="00315311">
        <w:t xml:space="preserve">x </w:t>
      </w:r>
      <w:r w:rsidR="002628A2">
        <w:t>c</w:t>
      </w:r>
      <w:r w:rsidRPr="00315311">
        <w:t xml:space="preserve">odes </w:t>
      </w:r>
      <w:r w:rsidR="002628A2">
        <w:t>m</w:t>
      </w:r>
      <w:r w:rsidRPr="00315311">
        <w:t xml:space="preserve">atter in </w:t>
      </w:r>
      <w:r w:rsidR="002628A2">
        <w:t>p</w:t>
      </w:r>
      <w:r w:rsidRPr="00315311">
        <w:t xml:space="preserve">redicting in-house mortality? </w:t>
      </w:r>
      <w:r w:rsidRPr="000A0EA4">
        <w:t>JAMA</w:t>
      </w:r>
      <w:r w:rsidRPr="00315311">
        <w:t xml:space="preserve"> </w:t>
      </w:r>
      <w:r w:rsidR="002628A2">
        <w:t>1992</w:t>
      </w:r>
      <w:proofErr w:type="gramStart"/>
      <w:r w:rsidR="002628A2">
        <w:t>;</w:t>
      </w:r>
      <w:r w:rsidRPr="00315311">
        <w:t>267</w:t>
      </w:r>
      <w:proofErr w:type="gramEnd"/>
      <w:r w:rsidRPr="00315311">
        <w:t>(16)</w:t>
      </w:r>
      <w:r w:rsidR="002628A2">
        <w:t>:</w:t>
      </w:r>
      <w:r w:rsidRPr="00315311">
        <w:t>2197-2203.</w:t>
      </w:r>
    </w:p>
    <w:p w14:paraId="30A9FD92" w14:textId="77777777" w:rsidR="005000B6" w:rsidRDefault="005000B6" w:rsidP="00315311">
      <w:r w:rsidRPr="0008224B">
        <w:lastRenderedPageBreak/>
        <w:t>Neal</w:t>
      </w:r>
      <w:r w:rsidR="002628A2">
        <w:t xml:space="preserve"> B,</w:t>
      </w:r>
      <w:r w:rsidRPr="0008224B">
        <w:t xml:space="preserve"> Romano </w:t>
      </w:r>
      <w:r w:rsidR="002628A2">
        <w:t>P.</w:t>
      </w:r>
      <w:r w:rsidRPr="0008224B">
        <w:t xml:space="preserve"> Coding </w:t>
      </w:r>
      <w:r w:rsidR="002628A2">
        <w:t>p</w:t>
      </w:r>
      <w:r w:rsidRPr="0008224B">
        <w:t>ostop</w:t>
      </w:r>
      <w:r w:rsidR="002628A2">
        <w:t>erative</w:t>
      </w:r>
      <w:r w:rsidRPr="0008224B">
        <w:t xml:space="preserve"> </w:t>
      </w:r>
      <w:r w:rsidR="002628A2">
        <w:t>r</w:t>
      </w:r>
      <w:r w:rsidRPr="0008224B">
        <w:t>esp</w:t>
      </w:r>
      <w:r w:rsidR="002628A2">
        <w:t>iratory</w:t>
      </w:r>
      <w:r w:rsidRPr="0008224B">
        <w:t xml:space="preserve"> </w:t>
      </w:r>
      <w:r w:rsidR="002628A2">
        <w:t>f</w:t>
      </w:r>
      <w:r w:rsidRPr="0008224B">
        <w:t xml:space="preserve">ailure: </w:t>
      </w:r>
      <w:r w:rsidR="002628A2">
        <w:t>p</w:t>
      </w:r>
      <w:r w:rsidRPr="0008224B">
        <w:t>erspectives and possible changes. UHC Presentation</w:t>
      </w:r>
      <w:r w:rsidR="002628A2">
        <w:t>, undated</w:t>
      </w:r>
      <w:r>
        <w:t>.</w:t>
      </w:r>
    </w:p>
    <w:p w14:paraId="5C6D13AC" w14:textId="77777777" w:rsidR="000C4E6A" w:rsidRDefault="000C4E6A" w:rsidP="000C4E6A">
      <w:r w:rsidRPr="00407D06">
        <w:t>Romano P</w:t>
      </w:r>
      <w:r>
        <w:t>S</w:t>
      </w:r>
      <w:r w:rsidRPr="00407D06">
        <w:t>. Lessons learned from PSI validation and demonstration projects. UHC Webinar</w:t>
      </w:r>
      <w:r>
        <w:t xml:space="preserve">, May </w:t>
      </w:r>
      <w:r w:rsidRPr="00407D06">
        <w:t>6</w:t>
      </w:r>
      <w:r>
        <w:t xml:space="preserve">, </w:t>
      </w:r>
      <w:r w:rsidRPr="00407D06">
        <w:t>2010</w:t>
      </w:r>
      <w:r>
        <w:t xml:space="preserve">. Available at: </w:t>
      </w:r>
      <w:hyperlink r:id="rId26" w:history="1">
        <w:r w:rsidRPr="001A7A85">
          <w:rPr>
            <w:rStyle w:val="Hyperlink"/>
          </w:rPr>
          <w:t>www.qualityindicators.ahrq.gov/Downloads/Resources/Presentations/2010/Romano%20UHC%20webinar%20PSIs05-10.pdf</w:t>
        </w:r>
      </w:hyperlink>
      <w:r>
        <w:t>.</w:t>
      </w:r>
    </w:p>
    <w:p w14:paraId="30A9FD93" w14:textId="77777777" w:rsidR="005000B6" w:rsidRDefault="005000B6" w:rsidP="00315311">
      <w:r w:rsidRPr="00AC2967">
        <w:t>Romano PS</w:t>
      </w:r>
      <w:r w:rsidR="00DD26F8" w:rsidRPr="00DD26F8">
        <w:t xml:space="preserve">, </w:t>
      </w:r>
      <w:proofErr w:type="spellStart"/>
      <w:r w:rsidR="00DD26F8" w:rsidRPr="00DD26F8">
        <w:t>Yasmeen</w:t>
      </w:r>
      <w:proofErr w:type="spellEnd"/>
      <w:r w:rsidR="00DD26F8" w:rsidRPr="00DD26F8">
        <w:t xml:space="preserve"> S, </w:t>
      </w:r>
      <w:proofErr w:type="spellStart"/>
      <w:r w:rsidR="00DD26F8" w:rsidRPr="00DD26F8">
        <w:t>Schembri</w:t>
      </w:r>
      <w:proofErr w:type="spellEnd"/>
      <w:r w:rsidR="00DD26F8" w:rsidRPr="00DD26F8">
        <w:t xml:space="preserve"> ME,</w:t>
      </w:r>
      <w:r w:rsidRPr="00AC2967">
        <w:t xml:space="preserve"> et al. </w:t>
      </w:r>
      <w:proofErr w:type="gramStart"/>
      <w:r w:rsidRPr="00AC2967">
        <w:t>Coding</w:t>
      </w:r>
      <w:proofErr w:type="gramEnd"/>
      <w:r w:rsidRPr="00AC2967">
        <w:t xml:space="preserve"> of </w:t>
      </w:r>
      <w:proofErr w:type="spellStart"/>
      <w:r w:rsidR="00DD26F8">
        <w:t>p</w:t>
      </w:r>
      <w:r w:rsidRPr="00AC2967">
        <w:t>erineal</w:t>
      </w:r>
      <w:proofErr w:type="spellEnd"/>
      <w:r w:rsidRPr="00AC2967">
        <w:t xml:space="preserve"> </w:t>
      </w:r>
      <w:r w:rsidR="00DD26F8">
        <w:t>l</w:t>
      </w:r>
      <w:r w:rsidRPr="00AC2967">
        <w:t xml:space="preserve">acerations and </w:t>
      </w:r>
      <w:r w:rsidR="00DD26F8">
        <w:t>o</w:t>
      </w:r>
      <w:r w:rsidRPr="00AC2967">
        <w:t xml:space="preserve">ther </w:t>
      </w:r>
      <w:r w:rsidR="00DD26F8">
        <w:t>c</w:t>
      </w:r>
      <w:r w:rsidRPr="00AC2967">
        <w:t xml:space="preserve">omplications of </w:t>
      </w:r>
      <w:r w:rsidR="00DD26F8">
        <w:t>o</w:t>
      </w:r>
      <w:r w:rsidRPr="00AC2967">
        <w:t xml:space="preserve">bstetric </w:t>
      </w:r>
      <w:r w:rsidR="00DD26F8">
        <w:t>c</w:t>
      </w:r>
      <w:r w:rsidRPr="00AC2967">
        <w:t xml:space="preserve">are in </w:t>
      </w:r>
      <w:r w:rsidR="00DD26F8">
        <w:t>h</w:t>
      </w:r>
      <w:r w:rsidRPr="00AC2967">
        <w:t xml:space="preserve">ospital </w:t>
      </w:r>
      <w:r w:rsidR="00DD26F8">
        <w:t>d</w:t>
      </w:r>
      <w:r w:rsidRPr="00AC2967">
        <w:t xml:space="preserve">ischarge </w:t>
      </w:r>
      <w:r w:rsidR="00DD26F8">
        <w:t>d</w:t>
      </w:r>
      <w:r w:rsidRPr="00AC2967">
        <w:t xml:space="preserve">ata. </w:t>
      </w:r>
      <w:proofErr w:type="spellStart"/>
      <w:r w:rsidRPr="000A0EA4">
        <w:t>Obstet</w:t>
      </w:r>
      <w:proofErr w:type="spellEnd"/>
      <w:r w:rsidRPr="000A0EA4">
        <w:t xml:space="preserve"> </w:t>
      </w:r>
      <w:proofErr w:type="spellStart"/>
      <w:r w:rsidRPr="000A0EA4">
        <w:t>Gynecol</w:t>
      </w:r>
      <w:proofErr w:type="spellEnd"/>
      <w:r w:rsidRPr="00AC2967">
        <w:t xml:space="preserve"> </w:t>
      </w:r>
      <w:r w:rsidR="00DD26F8">
        <w:t>2005</w:t>
      </w:r>
      <w:proofErr w:type="gramStart"/>
      <w:r w:rsidR="00DD26F8">
        <w:t>;</w:t>
      </w:r>
      <w:r w:rsidRPr="00AC2967">
        <w:t>106</w:t>
      </w:r>
      <w:proofErr w:type="gramEnd"/>
      <w:r w:rsidRPr="00AC2967">
        <w:t>(4)</w:t>
      </w:r>
      <w:r w:rsidR="00DD26F8">
        <w:t>:</w:t>
      </w:r>
      <w:r w:rsidRPr="00AC2967">
        <w:t>717-25.</w:t>
      </w:r>
    </w:p>
    <w:p w14:paraId="30A9FD95" w14:textId="77777777" w:rsidR="005000B6" w:rsidRDefault="005000B6" w:rsidP="00315311">
      <w:r w:rsidRPr="00B21A7B">
        <w:t>Rosen</w:t>
      </w:r>
      <w:r w:rsidR="001A7A85" w:rsidRPr="001A7A85">
        <w:t xml:space="preserve"> AK</w:t>
      </w:r>
      <w:r w:rsidR="001A7A85">
        <w:t xml:space="preserve">, </w:t>
      </w:r>
      <w:r w:rsidR="001A7A85" w:rsidRPr="001A7A85">
        <w:t>Zhao S</w:t>
      </w:r>
      <w:r w:rsidR="001A7A85">
        <w:t xml:space="preserve">, </w:t>
      </w:r>
      <w:proofErr w:type="spellStart"/>
      <w:r w:rsidR="001A7A85" w:rsidRPr="001A7A85">
        <w:t>Rivard</w:t>
      </w:r>
      <w:proofErr w:type="spellEnd"/>
      <w:r w:rsidR="001A7A85" w:rsidRPr="001A7A85">
        <w:t xml:space="preserve"> P</w:t>
      </w:r>
      <w:r w:rsidR="001A7A85">
        <w:t>,</w:t>
      </w:r>
      <w:r w:rsidRPr="00B21A7B">
        <w:t xml:space="preserve"> et al. Tracking rates of </w:t>
      </w:r>
      <w:r w:rsidR="001A7A85">
        <w:t>P</w:t>
      </w:r>
      <w:r w:rsidRPr="00B21A7B">
        <w:t xml:space="preserve">atient </w:t>
      </w:r>
      <w:r w:rsidR="001A7A85">
        <w:t>S</w:t>
      </w:r>
      <w:r w:rsidRPr="00B21A7B">
        <w:t xml:space="preserve">afety </w:t>
      </w:r>
      <w:r w:rsidR="001A7A85">
        <w:t>I</w:t>
      </w:r>
      <w:r w:rsidRPr="00B21A7B">
        <w:t xml:space="preserve">ndicators over time. </w:t>
      </w:r>
      <w:proofErr w:type="gramStart"/>
      <w:r w:rsidRPr="00B21A7B">
        <w:t>Lessons from the V</w:t>
      </w:r>
      <w:r w:rsidR="001A7A85">
        <w:t xml:space="preserve">eterans </w:t>
      </w:r>
      <w:r w:rsidRPr="00B21A7B">
        <w:t>A</w:t>
      </w:r>
      <w:r w:rsidR="001A7A85">
        <w:t>dministration</w:t>
      </w:r>
      <w:r w:rsidRPr="00B21A7B">
        <w:t>.</w:t>
      </w:r>
      <w:proofErr w:type="gramEnd"/>
      <w:r w:rsidRPr="00B21A7B">
        <w:t xml:space="preserve"> </w:t>
      </w:r>
      <w:r w:rsidRPr="000A0EA4">
        <w:t>Med Care</w:t>
      </w:r>
      <w:r w:rsidRPr="00B21A7B">
        <w:t xml:space="preserve"> </w:t>
      </w:r>
      <w:r w:rsidR="001A7A85">
        <w:t>2006</w:t>
      </w:r>
      <w:proofErr w:type="gramStart"/>
      <w:r w:rsidR="001A7A85">
        <w:t>;</w:t>
      </w:r>
      <w:r w:rsidRPr="00B21A7B">
        <w:t>44</w:t>
      </w:r>
      <w:proofErr w:type="gramEnd"/>
      <w:r w:rsidR="001A7A85">
        <w:t>(9):</w:t>
      </w:r>
      <w:r w:rsidRPr="00B21A7B">
        <w:t>850-61.</w:t>
      </w:r>
    </w:p>
    <w:p w14:paraId="30A9FD96" w14:textId="6D82E14A" w:rsidR="005000B6" w:rsidRPr="00315311" w:rsidRDefault="005000B6" w:rsidP="00315311">
      <w:proofErr w:type="spellStart"/>
      <w:r w:rsidRPr="00C653D8">
        <w:t>Sadeghi</w:t>
      </w:r>
      <w:proofErr w:type="spellEnd"/>
      <w:r w:rsidRPr="00C653D8">
        <w:t xml:space="preserve"> </w:t>
      </w:r>
      <w:r w:rsidR="001A7A85">
        <w:t xml:space="preserve">B, Baron R, </w:t>
      </w:r>
      <w:proofErr w:type="spellStart"/>
      <w:r w:rsidR="001A7A85">
        <w:t>Zrelak</w:t>
      </w:r>
      <w:proofErr w:type="spellEnd"/>
      <w:r w:rsidR="001A7A85">
        <w:t xml:space="preserve"> P,</w:t>
      </w:r>
      <w:r w:rsidR="001A7A85" w:rsidRPr="00C653D8">
        <w:t xml:space="preserve"> </w:t>
      </w:r>
      <w:r w:rsidRPr="00C653D8">
        <w:t xml:space="preserve">et al. Cases of iatrogenic </w:t>
      </w:r>
      <w:proofErr w:type="spellStart"/>
      <w:r w:rsidRPr="00C653D8">
        <w:t>pneumothroax</w:t>
      </w:r>
      <w:proofErr w:type="spellEnd"/>
      <w:r w:rsidRPr="00C653D8">
        <w:t xml:space="preserve"> can be identified from ICD</w:t>
      </w:r>
      <w:r w:rsidR="001A7A85">
        <w:t>-</w:t>
      </w:r>
      <w:r w:rsidRPr="00C653D8">
        <w:t>9</w:t>
      </w:r>
      <w:r w:rsidR="001A7A85">
        <w:t>-</w:t>
      </w:r>
      <w:r w:rsidRPr="00C653D8">
        <w:t xml:space="preserve">CM coded data. </w:t>
      </w:r>
      <w:r w:rsidRPr="000A0EA4">
        <w:t xml:space="preserve">Am J Med </w:t>
      </w:r>
      <w:proofErr w:type="spellStart"/>
      <w:r w:rsidRPr="000A0EA4">
        <w:t>Qual</w:t>
      </w:r>
      <w:proofErr w:type="spellEnd"/>
      <w:r w:rsidRPr="00C653D8">
        <w:t xml:space="preserve"> </w:t>
      </w:r>
      <w:r w:rsidR="001A7A85" w:rsidRPr="00C653D8">
        <w:t>2010</w:t>
      </w:r>
      <w:proofErr w:type="gramStart"/>
      <w:r w:rsidR="00C64166">
        <w:t>;</w:t>
      </w:r>
      <w:r w:rsidRPr="00C653D8">
        <w:t>25</w:t>
      </w:r>
      <w:proofErr w:type="gramEnd"/>
      <w:r w:rsidRPr="00C653D8">
        <w:t>(3)</w:t>
      </w:r>
      <w:r w:rsidR="00C64166">
        <w:t>:</w:t>
      </w:r>
      <w:r w:rsidRPr="00C653D8">
        <w:t>218-24.</w:t>
      </w:r>
      <w:r w:rsidR="00612A3E">
        <w:t xml:space="preserve"> Available at: </w:t>
      </w:r>
      <w:hyperlink r:id="rId27" w:history="1">
        <w:r w:rsidR="00612A3E" w:rsidRPr="00864960">
          <w:rPr>
            <w:rStyle w:val="Hyperlink"/>
          </w:rPr>
          <w:t>http://ajm.sagepub.com/content/25/3/218.full.pdf+html</w:t>
        </w:r>
      </w:hyperlink>
      <w:r w:rsidR="00612A3E">
        <w:t xml:space="preserve">. </w:t>
      </w:r>
      <w:proofErr w:type="gramStart"/>
      <w:r w:rsidR="00612A3E">
        <w:t>Accessed June 27, 2014.</w:t>
      </w:r>
      <w:proofErr w:type="gramEnd"/>
    </w:p>
    <w:p w14:paraId="30A9FD97" w14:textId="77777777" w:rsidR="005000B6" w:rsidRDefault="005000B6" w:rsidP="00315311">
      <w:r>
        <w:t xml:space="preserve">Shin </w:t>
      </w:r>
      <w:r w:rsidR="00C64166">
        <w:t xml:space="preserve">MH, </w:t>
      </w:r>
      <w:proofErr w:type="spellStart"/>
      <w:r w:rsidR="00C64166">
        <w:t>Borzecki</w:t>
      </w:r>
      <w:proofErr w:type="spellEnd"/>
      <w:r w:rsidR="00C64166">
        <w:t xml:space="preserve"> </w:t>
      </w:r>
      <w:proofErr w:type="gramStart"/>
      <w:r w:rsidR="00C64166">
        <w:t>AM</w:t>
      </w:r>
      <w:proofErr w:type="gramEnd"/>
      <w:r w:rsidR="00C64166">
        <w:t>, Rosen AM</w:t>
      </w:r>
      <w:r>
        <w:t xml:space="preserve">. </w:t>
      </w:r>
      <w:r w:rsidRPr="00986059">
        <w:t xml:space="preserve">Assessing the </w:t>
      </w:r>
      <w:r w:rsidR="00C64166">
        <w:t>c</w:t>
      </w:r>
      <w:r w:rsidRPr="00986059">
        <w:t>riterion</w:t>
      </w:r>
      <w:r>
        <w:t xml:space="preserve"> </w:t>
      </w:r>
      <w:r w:rsidR="00C64166">
        <w:t>v</w:t>
      </w:r>
      <w:r w:rsidRPr="00986059">
        <w:t xml:space="preserve">alidity of </w:t>
      </w:r>
      <w:r w:rsidR="00C64166">
        <w:t>s</w:t>
      </w:r>
      <w:r w:rsidRPr="00986059">
        <w:t>elected Patient</w:t>
      </w:r>
      <w:r>
        <w:t xml:space="preserve"> </w:t>
      </w:r>
      <w:r w:rsidRPr="00986059">
        <w:t xml:space="preserve">Safety Indicators (PSIs): </w:t>
      </w:r>
      <w:r w:rsidR="00C64166">
        <w:t>a</w:t>
      </w:r>
      <w:r w:rsidRPr="00986059">
        <w:t>re</w:t>
      </w:r>
      <w:r>
        <w:t xml:space="preserve"> </w:t>
      </w:r>
      <w:r w:rsidR="00C64166">
        <w:t>t</w:t>
      </w:r>
      <w:r w:rsidRPr="00986059">
        <w:t xml:space="preserve">hey </w:t>
      </w:r>
      <w:r w:rsidR="00C64166">
        <w:t>r</w:t>
      </w:r>
      <w:r w:rsidRPr="00986059">
        <w:t xml:space="preserve">eady for </w:t>
      </w:r>
      <w:r w:rsidR="00C64166">
        <w:t>p</w:t>
      </w:r>
      <w:r w:rsidRPr="00986059">
        <w:t xml:space="preserve">rime </w:t>
      </w:r>
      <w:r w:rsidR="00C64166">
        <w:t>t</w:t>
      </w:r>
      <w:r w:rsidRPr="00986059">
        <w:t>ime?</w:t>
      </w:r>
      <w:r>
        <w:t xml:space="preserve"> </w:t>
      </w:r>
      <w:r w:rsidR="00CA5D7D">
        <w:t xml:space="preserve">Academy Health </w:t>
      </w:r>
      <w:r>
        <w:t xml:space="preserve">Presentation, June 13, 2011. </w:t>
      </w:r>
      <w:r w:rsidR="00C64166">
        <w:t xml:space="preserve">Available at: </w:t>
      </w:r>
      <w:hyperlink r:id="rId28" w:history="1">
        <w:r w:rsidR="00C64166">
          <w:rPr>
            <w:rStyle w:val="Hyperlink"/>
          </w:rPr>
          <w:t>www.academyhealth.org/files/2011/monday/shin.pdf</w:t>
        </w:r>
      </w:hyperlink>
      <w:r w:rsidR="00C64166">
        <w:t>.</w:t>
      </w:r>
    </w:p>
    <w:p w14:paraId="30A9FD98" w14:textId="7304C5C7" w:rsidR="00A43E8E" w:rsidRDefault="005000B6" w:rsidP="00315311">
      <w:proofErr w:type="spellStart"/>
      <w:r w:rsidRPr="0041658C">
        <w:t>Shufelt</w:t>
      </w:r>
      <w:proofErr w:type="spellEnd"/>
      <w:r w:rsidRPr="0041658C">
        <w:t xml:space="preserve"> </w:t>
      </w:r>
      <w:r w:rsidR="00C64166">
        <w:t xml:space="preserve">JL, </w:t>
      </w:r>
      <w:proofErr w:type="spellStart"/>
      <w:r w:rsidR="00C64166">
        <w:t>Hannan</w:t>
      </w:r>
      <w:proofErr w:type="spellEnd"/>
      <w:r w:rsidR="00C64166">
        <w:t xml:space="preserve"> EL, Gallagher BK</w:t>
      </w:r>
      <w:r w:rsidRPr="0041658C">
        <w:t xml:space="preserve">. </w:t>
      </w:r>
      <w:proofErr w:type="gramStart"/>
      <w:r w:rsidRPr="0041658C">
        <w:t>The postoperative hemorrhage and hematoma patient safety indicator and its risk factors</w:t>
      </w:r>
      <w:r w:rsidRPr="00103873">
        <w:rPr>
          <w:i/>
        </w:rPr>
        <w:t>.</w:t>
      </w:r>
      <w:proofErr w:type="gramEnd"/>
      <w:r w:rsidRPr="00103873">
        <w:rPr>
          <w:i/>
        </w:rPr>
        <w:t xml:space="preserve"> </w:t>
      </w:r>
      <w:r w:rsidRPr="000A0EA4">
        <w:t xml:space="preserve">Am J Med </w:t>
      </w:r>
      <w:proofErr w:type="spellStart"/>
      <w:r w:rsidRPr="000A0EA4">
        <w:t>Qual</w:t>
      </w:r>
      <w:proofErr w:type="spellEnd"/>
      <w:r w:rsidRPr="0041658C">
        <w:t xml:space="preserve"> </w:t>
      </w:r>
      <w:r w:rsidR="00C64166">
        <w:t>2005</w:t>
      </w:r>
      <w:proofErr w:type="gramStart"/>
      <w:r w:rsidR="00C64166">
        <w:t>;</w:t>
      </w:r>
      <w:r w:rsidRPr="0041658C">
        <w:t>20</w:t>
      </w:r>
      <w:proofErr w:type="gramEnd"/>
      <w:r w:rsidRPr="0041658C">
        <w:t>(4)</w:t>
      </w:r>
      <w:r w:rsidR="00C64166">
        <w:t>:</w:t>
      </w:r>
      <w:r w:rsidRPr="0041658C">
        <w:t>210-18.</w:t>
      </w:r>
      <w:r w:rsidR="00612A3E">
        <w:t xml:space="preserve"> Available at: </w:t>
      </w:r>
      <w:hyperlink r:id="rId29" w:history="1">
        <w:r w:rsidR="00612A3E" w:rsidRPr="00864960">
          <w:rPr>
            <w:rStyle w:val="Hyperlink"/>
          </w:rPr>
          <w:t>http://ajm.sagepub.com/content/20/4/210.long</w:t>
        </w:r>
      </w:hyperlink>
      <w:r w:rsidR="00612A3E">
        <w:t xml:space="preserve">. </w:t>
      </w:r>
      <w:proofErr w:type="gramStart"/>
      <w:r w:rsidR="00612A3E">
        <w:t>Accessed June 27, 2014.</w:t>
      </w:r>
      <w:proofErr w:type="gramEnd"/>
    </w:p>
    <w:p w14:paraId="30A9FD99" w14:textId="77777777" w:rsidR="00FF6D8B" w:rsidRDefault="00FF6D8B" w:rsidP="00FF6D8B">
      <w:proofErr w:type="spellStart"/>
      <w:proofErr w:type="gramStart"/>
      <w:r w:rsidRPr="00B21A7B">
        <w:t>Talsma</w:t>
      </w:r>
      <w:proofErr w:type="spellEnd"/>
      <w:r>
        <w:t xml:space="preserve"> A, </w:t>
      </w:r>
      <w:proofErr w:type="spellStart"/>
      <w:r>
        <w:t>Bahl</w:t>
      </w:r>
      <w:proofErr w:type="spellEnd"/>
      <w:r>
        <w:t xml:space="preserve"> V, Campbell DA</w:t>
      </w:r>
      <w:r w:rsidRPr="00B21A7B">
        <w:t>.</w:t>
      </w:r>
      <w:proofErr w:type="gramEnd"/>
      <w:r w:rsidRPr="00B21A7B">
        <w:t xml:space="preserve"> Exploratory </w:t>
      </w:r>
      <w:r>
        <w:t>a</w:t>
      </w:r>
      <w:r w:rsidRPr="00B21A7B">
        <w:t xml:space="preserve">nalyses of the </w:t>
      </w:r>
      <w:r>
        <w:t>“f</w:t>
      </w:r>
      <w:r w:rsidRPr="00B21A7B">
        <w:t xml:space="preserve">ailure to </w:t>
      </w:r>
      <w:r>
        <w:t>r</w:t>
      </w:r>
      <w:r w:rsidRPr="00B21A7B">
        <w:t>escue</w:t>
      </w:r>
      <w:r>
        <w:t>”</w:t>
      </w:r>
      <w:r w:rsidRPr="00B21A7B">
        <w:t xml:space="preserve"> measure: </w:t>
      </w:r>
      <w:r>
        <w:t>e</w:t>
      </w:r>
      <w:r w:rsidRPr="00B21A7B">
        <w:t xml:space="preserve">valuation through medical record review. </w:t>
      </w:r>
      <w:r w:rsidRPr="001A7A85">
        <w:t xml:space="preserve">J </w:t>
      </w:r>
      <w:proofErr w:type="spellStart"/>
      <w:r w:rsidRPr="001A7A85">
        <w:t>Nurs</w:t>
      </w:r>
      <w:proofErr w:type="spellEnd"/>
      <w:r w:rsidRPr="001A7A85">
        <w:t xml:space="preserve"> Care </w:t>
      </w:r>
      <w:proofErr w:type="spellStart"/>
      <w:r w:rsidRPr="001A7A85">
        <w:t>Qual</w:t>
      </w:r>
      <w:proofErr w:type="spellEnd"/>
      <w:r w:rsidRPr="00B21A7B">
        <w:t xml:space="preserve"> </w:t>
      </w:r>
      <w:r>
        <w:t>2008</w:t>
      </w:r>
      <w:proofErr w:type="gramStart"/>
      <w:r>
        <w:t>;</w:t>
      </w:r>
      <w:r w:rsidRPr="00B21A7B">
        <w:t>23</w:t>
      </w:r>
      <w:proofErr w:type="gramEnd"/>
      <w:r w:rsidRPr="00B21A7B">
        <w:t>(3)</w:t>
      </w:r>
      <w:r>
        <w:t>:</w:t>
      </w:r>
      <w:r w:rsidRPr="00B21A7B">
        <w:t>202-10.</w:t>
      </w:r>
    </w:p>
    <w:p w14:paraId="30A9FD9B" w14:textId="4461FE3C" w:rsidR="00E0746C" w:rsidRPr="00E0746C" w:rsidRDefault="00E0746C" w:rsidP="00315311">
      <w:r w:rsidRPr="00E0746C">
        <w:rPr>
          <w:color w:val="000000"/>
        </w:rPr>
        <w:t xml:space="preserve">Utter GH, </w:t>
      </w:r>
      <w:proofErr w:type="spellStart"/>
      <w:r w:rsidRPr="00E0746C">
        <w:rPr>
          <w:color w:val="000000"/>
        </w:rPr>
        <w:t>Cuny</w:t>
      </w:r>
      <w:proofErr w:type="spellEnd"/>
      <w:r w:rsidRPr="00E0746C">
        <w:rPr>
          <w:color w:val="000000"/>
        </w:rPr>
        <w:t xml:space="preserve"> J, </w:t>
      </w:r>
      <w:proofErr w:type="spellStart"/>
      <w:r w:rsidRPr="00E0746C">
        <w:rPr>
          <w:color w:val="000000"/>
        </w:rPr>
        <w:t>Sama</w:t>
      </w:r>
      <w:proofErr w:type="spellEnd"/>
      <w:r w:rsidRPr="00E0746C">
        <w:rPr>
          <w:color w:val="000000"/>
        </w:rPr>
        <w:t xml:space="preserve"> P, et al.</w:t>
      </w:r>
      <w:r w:rsidR="00612A3E">
        <w:rPr>
          <w:color w:val="000000"/>
        </w:rPr>
        <w:t xml:space="preserve"> </w:t>
      </w:r>
      <w:r w:rsidRPr="00E0746C">
        <w:t xml:space="preserve">Detection of </w:t>
      </w:r>
      <w:r w:rsidR="00C64166">
        <w:t>p</w:t>
      </w:r>
      <w:r w:rsidRPr="00E0746C">
        <w:t xml:space="preserve">ostoperative </w:t>
      </w:r>
      <w:r w:rsidR="00C64166">
        <w:t>r</w:t>
      </w:r>
      <w:r w:rsidRPr="00E0746C">
        <w:t xml:space="preserve">espiratory </w:t>
      </w:r>
      <w:r w:rsidR="00C64166">
        <w:t>f</w:t>
      </w:r>
      <w:r w:rsidRPr="00E0746C">
        <w:t xml:space="preserve">ailure: </w:t>
      </w:r>
      <w:r w:rsidR="00C64166">
        <w:t>h</w:t>
      </w:r>
      <w:r w:rsidRPr="00E0746C">
        <w:t xml:space="preserve">ow predictive </w:t>
      </w:r>
      <w:r w:rsidR="00C64166">
        <w:t>i</w:t>
      </w:r>
      <w:r w:rsidRPr="00E0746C">
        <w:t>s the A</w:t>
      </w:r>
      <w:r w:rsidR="00C64166">
        <w:t xml:space="preserve">gency for </w:t>
      </w:r>
      <w:r w:rsidRPr="00E0746C">
        <w:t>H</w:t>
      </w:r>
      <w:r w:rsidR="00C64166">
        <w:t xml:space="preserve">ealthcare </w:t>
      </w:r>
      <w:r w:rsidRPr="00E0746C">
        <w:t>R</w:t>
      </w:r>
      <w:r w:rsidR="00C64166">
        <w:t xml:space="preserve">esearch and </w:t>
      </w:r>
      <w:r w:rsidRPr="00E0746C">
        <w:t>Q</w:t>
      </w:r>
      <w:r w:rsidR="00C64166">
        <w:t>uality’s</w:t>
      </w:r>
      <w:r w:rsidRPr="00E0746C">
        <w:t xml:space="preserve"> Patient Safety Indicator?</w:t>
      </w:r>
      <w:r w:rsidR="00612A3E">
        <w:t xml:space="preserve"> </w:t>
      </w:r>
      <w:r w:rsidRPr="000A0EA4">
        <w:t xml:space="preserve">J Am </w:t>
      </w:r>
      <w:proofErr w:type="spellStart"/>
      <w:r w:rsidRPr="000A0EA4">
        <w:t>Coll</w:t>
      </w:r>
      <w:proofErr w:type="spellEnd"/>
      <w:r w:rsidRPr="000A0EA4">
        <w:t xml:space="preserve"> </w:t>
      </w:r>
      <w:proofErr w:type="spellStart"/>
      <w:r w:rsidRPr="000A0EA4">
        <w:t>Surg</w:t>
      </w:r>
      <w:proofErr w:type="spellEnd"/>
      <w:r w:rsidRPr="00E0746C">
        <w:rPr>
          <w:color w:val="000000"/>
        </w:rPr>
        <w:t xml:space="preserve"> 2010 Sep</w:t>
      </w:r>
      <w:proofErr w:type="gramStart"/>
      <w:r w:rsidRPr="00E0746C">
        <w:rPr>
          <w:color w:val="000000"/>
        </w:rPr>
        <w:t>;211</w:t>
      </w:r>
      <w:proofErr w:type="gramEnd"/>
      <w:r w:rsidRPr="00E0746C">
        <w:rPr>
          <w:color w:val="000000"/>
        </w:rPr>
        <w:t>(3):347-54.</w:t>
      </w:r>
      <w:r w:rsidR="00612A3E">
        <w:rPr>
          <w:color w:val="000000"/>
        </w:rPr>
        <w:t xml:space="preserve"> Available at: </w:t>
      </w:r>
      <w:hyperlink r:id="rId30" w:history="1">
        <w:r w:rsidR="00612A3E" w:rsidRPr="00864960">
          <w:rPr>
            <w:rStyle w:val="Hyperlink"/>
          </w:rPr>
          <w:t>http://www.sciencedirect.com/science/article/pii/S1072751510003388</w:t>
        </w:r>
      </w:hyperlink>
      <w:r w:rsidR="00612A3E">
        <w:rPr>
          <w:color w:val="000000"/>
        </w:rPr>
        <w:t xml:space="preserve">. </w:t>
      </w:r>
      <w:proofErr w:type="gramStart"/>
      <w:r w:rsidR="00612A3E">
        <w:rPr>
          <w:color w:val="000000"/>
        </w:rPr>
        <w:t>Accessed June 27, 2014.</w:t>
      </w:r>
      <w:proofErr w:type="gramEnd"/>
    </w:p>
    <w:p w14:paraId="6DFF622D" w14:textId="77777777" w:rsidR="000C4E6A" w:rsidRDefault="000C4E6A" w:rsidP="000C4E6A">
      <w:r w:rsidRPr="00CB710C">
        <w:t xml:space="preserve">Utter </w:t>
      </w:r>
      <w:r>
        <w:t xml:space="preserve">GH, </w:t>
      </w:r>
      <w:proofErr w:type="spellStart"/>
      <w:r>
        <w:t>Zrelak</w:t>
      </w:r>
      <w:proofErr w:type="spellEnd"/>
      <w:r>
        <w:t xml:space="preserve"> PA, </w:t>
      </w:r>
      <w:proofErr w:type="gramStart"/>
      <w:r>
        <w:t>Baron</w:t>
      </w:r>
      <w:proofErr w:type="gramEnd"/>
      <w:r>
        <w:t xml:space="preserve"> R, </w:t>
      </w:r>
      <w:r w:rsidRPr="00CB710C">
        <w:t xml:space="preserve">et al. Positive </w:t>
      </w:r>
      <w:r>
        <w:t>p</w:t>
      </w:r>
      <w:r w:rsidRPr="00CB710C">
        <w:t xml:space="preserve">redictive </w:t>
      </w:r>
      <w:r>
        <w:t>v</w:t>
      </w:r>
      <w:r w:rsidRPr="00CB710C">
        <w:t xml:space="preserve">alue of the AHRQ </w:t>
      </w:r>
      <w:r>
        <w:t>a</w:t>
      </w:r>
      <w:r w:rsidRPr="00CB710C">
        <w:t xml:space="preserve">ccidental </w:t>
      </w:r>
      <w:r>
        <w:t>p</w:t>
      </w:r>
      <w:r w:rsidRPr="00CB710C">
        <w:t xml:space="preserve">uncture or </w:t>
      </w:r>
      <w:r>
        <w:t>l</w:t>
      </w:r>
      <w:r w:rsidRPr="00CB710C">
        <w:t xml:space="preserve">aceration </w:t>
      </w:r>
      <w:r>
        <w:t>p</w:t>
      </w:r>
      <w:r w:rsidRPr="00CB710C">
        <w:t xml:space="preserve">atient </w:t>
      </w:r>
      <w:r>
        <w:t>s</w:t>
      </w:r>
      <w:r w:rsidRPr="00CB710C">
        <w:t xml:space="preserve">afety </w:t>
      </w:r>
      <w:r>
        <w:t>i</w:t>
      </w:r>
      <w:r w:rsidRPr="00CB710C">
        <w:t xml:space="preserve">ndicator. </w:t>
      </w:r>
      <w:r w:rsidRPr="000A0EA4">
        <w:t xml:space="preserve">Ann </w:t>
      </w:r>
      <w:proofErr w:type="spellStart"/>
      <w:r w:rsidRPr="000A0EA4">
        <w:t>Surg</w:t>
      </w:r>
      <w:proofErr w:type="spellEnd"/>
      <w:r w:rsidRPr="00CB710C">
        <w:t xml:space="preserve"> </w:t>
      </w:r>
      <w:r>
        <w:t>2009</w:t>
      </w:r>
      <w:proofErr w:type="gramStart"/>
      <w:r>
        <w:t>;</w:t>
      </w:r>
      <w:r w:rsidRPr="00CB710C">
        <w:t>250</w:t>
      </w:r>
      <w:proofErr w:type="gramEnd"/>
      <w:r w:rsidRPr="00CB710C">
        <w:t>(6)</w:t>
      </w:r>
      <w:r>
        <w:t>:</w:t>
      </w:r>
      <w:r w:rsidRPr="00CB710C">
        <w:t>1041-5.</w:t>
      </w:r>
    </w:p>
    <w:p w14:paraId="30A9FD9C" w14:textId="133172E8" w:rsidR="005000B6" w:rsidRDefault="005000B6" w:rsidP="00315311">
      <w:proofErr w:type="spellStart"/>
      <w:r w:rsidRPr="0041658C">
        <w:t>Vartak</w:t>
      </w:r>
      <w:proofErr w:type="spellEnd"/>
      <w:r w:rsidRPr="0041658C">
        <w:t xml:space="preserve"> S</w:t>
      </w:r>
      <w:r w:rsidR="0050389A">
        <w:t xml:space="preserve">, </w:t>
      </w:r>
      <w:r w:rsidR="0050389A" w:rsidRPr="0050389A">
        <w:t>Ward MM, Vaughn TE</w:t>
      </w:r>
      <w:r w:rsidRPr="0041658C">
        <w:t xml:space="preserve">. Do </w:t>
      </w:r>
      <w:r w:rsidR="00C64166">
        <w:t>p</w:t>
      </w:r>
      <w:r w:rsidRPr="0041658C">
        <w:t xml:space="preserve">ostoperative </w:t>
      </w:r>
      <w:r w:rsidR="00C64166">
        <w:t>c</w:t>
      </w:r>
      <w:r w:rsidRPr="0041658C">
        <w:t xml:space="preserve">omplications </w:t>
      </w:r>
      <w:r w:rsidR="00C64166">
        <w:t>v</w:t>
      </w:r>
      <w:r w:rsidRPr="0041658C">
        <w:t xml:space="preserve">ary by </w:t>
      </w:r>
      <w:r w:rsidR="00C64166">
        <w:t>h</w:t>
      </w:r>
      <w:r w:rsidRPr="0041658C">
        <w:t xml:space="preserve">ospital </w:t>
      </w:r>
      <w:r w:rsidR="00C64166">
        <w:t>t</w:t>
      </w:r>
      <w:r w:rsidRPr="0041658C">
        <w:t xml:space="preserve">eaching </w:t>
      </w:r>
      <w:r w:rsidR="00C64166">
        <w:t>s</w:t>
      </w:r>
      <w:r w:rsidRPr="0041658C">
        <w:t xml:space="preserve">tatus? </w:t>
      </w:r>
      <w:r w:rsidRPr="000A0EA4">
        <w:t>Med Care</w:t>
      </w:r>
      <w:r w:rsidRPr="0041658C">
        <w:t xml:space="preserve"> </w:t>
      </w:r>
      <w:r w:rsidR="00C64166">
        <w:t>2008</w:t>
      </w:r>
      <w:proofErr w:type="gramStart"/>
      <w:r w:rsidR="00C64166">
        <w:t>;</w:t>
      </w:r>
      <w:r w:rsidRPr="0041658C">
        <w:t>46</w:t>
      </w:r>
      <w:proofErr w:type="gramEnd"/>
      <w:r w:rsidRPr="0041658C">
        <w:t>(1)</w:t>
      </w:r>
      <w:r w:rsidR="00C64166">
        <w:t>:</w:t>
      </w:r>
      <w:r w:rsidRPr="0041658C">
        <w:t>25-32.</w:t>
      </w:r>
    </w:p>
    <w:p w14:paraId="30A9FD9D" w14:textId="77777777" w:rsidR="005000B6" w:rsidRDefault="005000B6" w:rsidP="00315311">
      <w:r>
        <w:t xml:space="preserve">White RH, </w:t>
      </w:r>
      <w:proofErr w:type="spellStart"/>
      <w:r w:rsidR="00C64166">
        <w:t>Sadeghi</w:t>
      </w:r>
      <w:proofErr w:type="spellEnd"/>
      <w:r w:rsidR="00C64166">
        <w:t xml:space="preserve"> B, </w:t>
      </w:r>
      <w:proofErr w:type="spellStart"/>
      <w:r w:rsidR="00C64166">
        <w:t>Tancredi</w:t>
      </w:r>
      <w:proofErr w:type="spellEnd"/>
      <w:r w:rsidR="00C64166">
        <w:t xml:space="preserve"> DJ, </w:t>
      </w:r>
      <w:r>
        <w:t xml:space="preserve">et al. How valid is the ICD-9-CM based AHRQ </w:t>
      </w:r>
      <w:r w:rsidR="00C64166">
        <w:t>p</w:t>
      </w:r>
      <w:r>
        <w:t xml:space="preserve">atient </w:t>
      </w:r>
      <w:r w:rsidR="00C64166">
        <w:t>s</w:t>
      </w:r>
      <w:r>
        <w:t xml:space="preserve">afety </w:t>
      </w:r>
      <w:r w:rsidR="00C64166">
        <w:t>i</w:t>
      </w:r>
      <w:r>
        <w:t xml:space="preserve">ndicator for postoperative venous thromboembolism? </w:t>
      </w:r>
      <w:r w:rsidRPr="000A0EA4">
        <w:t>Med Care</w:t>
      </w:r>
      <w:r>
        <w:t xml:space="preserve"> 2009</w:t>
      </w:r>
      <w:proofErr w:type="gramStart"/>
      <w:r>
        <w:t>;47</w:t>
      </w:r>
      <w:proofErr w:type="gramEnd"/>
      <w:r>
        <w:t>(12):1237-43.</w:t>
      </w:r>
    </w:p>
    <w:p w14:paraId="30A9FD9E" w14:textId="77777777" w:rsidR="005000B6" w:rsidRPr="00315311" w:rsidRDefault="005000B6" w:rsidP="00315311">
      <w:pPr>
        <w:spacing w:after="0"/>
        <w:rPr>
          <w:rFonts w:ascii="Calibri" w:hAnsi="Calibri" w:cs="Calibri"/>
          <w:color w:val="000000"/>
        </w:rPr>
      </w:pPr>
      <w:proofErr w:type="spellStart"/>
      <w:proofErr w:type="gramStart"/>
      <w:r w:rsidRPr="00C653D8">
        <w:t>Zrelak</w:t>
      </w:r>
      <w:proofErr w:type="spellEnd"/>
      <w:r w:rsidRPr="00C653D8">
        <w:t xml:space="preserve"> </w:t>
      </w:r>
      <w:r w:rsidR="003A4542">
        <w:t xml:space="preserve">PA, </w:t>
      </w:r>
      <w:proofErr w:type="spellStart"/>
      <w:r w:rsidR="003A4542">
        <w:t>Sadeghi</w:t>
      </w:r>
      <w:proofErr w:type="spellEnd"/>
      <w:r w:rsidR="003A4542">
        <w:t xml:space="preserve"> B, Utter GH, </w:t>
      </w:r>
      <w:r w:rsidRPr="00C653D8">
        <w:t xml:space="preserve">et al. Positive predictive value of the Agency for Healthcare Research and Quality Patient Safety Indicator for </w:t>
      </w:r>
      <w:r w:rsidR="003A4542">
        <w:t>c</w:t>
      </w:r>
      <w:r w:rsidRPr="00C653D8">
        <w:t xml:space="preserve">entral </w:t>
      </w:r>
      <w:r w:rsidR="003A4542">
        <w:t>l</w:t>
      </w:r>
      <w:r w:rsidRPr="00C653D8">
        <w:t>ine-</w:t>
      </w:r>
      <w:r w:rsidR="003A4542">
        <w:t>r</w:t>
      </w:r>
      <w:r w:rsidRPr="00C653D8">
        <w:t xml:space="preserve">elated </w:t>
      </w:r>
      <w:r w:rsidR="003A4542">
        <w:t>b</w:t>
      </w:r>
      <w:r w:rsidRPr="00C653D8">
        <w:t xml:space="preserve">loodstream </w:t>
      </w:r>
      <w:r w:rsidR="003A4542">
        <w:t>i</w:t>
      </w:r>
      <w:r w:rsidRPr="00C653D8">
        <w:t>nfection (</w:t>
      </w:r>
      <w:r w:rsidR="003A4542">
        <w:t>“s</w:t>
      </w:r>
      <w:r w:rsidRPr="00C653D8">
        <w:t xml:space="preserve">elected </w:t>
      </w:r>
      <w:r w:rsidR="003A4542">
        <w:t>i</w:t>
      </w:r>
      <w:r w:rsidRPr="00C653D8">
        <w:t xml:space="preserve">nfections </w:t>
      </w:r>
      <w:r w:rsidR="003A4542">
        <w:t>d</w:t>
      </w:r>
      <w:r w:rsidRPr="00C653D8">
        <w:t xml:space="preserve">ue to </w:t>
      </w:r>
      <w:r w:rsidR="003A4542">
        <w:t>m</w:t>
      </w:r>
      <w:r w:rsidRPr="00C653D8">
        <w:t xml:space="preserve">edical </w:t>
      </w:r>
      <w:r w:rsidR="003A4542">
        <w:t>c</w:t>
      </w:r>
      <w:r w:rsidRPr="00C653D8">
        <w:t>are</w:t>
      </w:r>
      <w:r w:rsidR="003A4542">
        <w:t>”</w:t>
      </w:r>
      <w:r w:rsidRPr="00C653D8">
        <w:t>)</w:t>
      </w:r>
      <w:r w:rsidR="003A4542">
        <w:t>.</w:t>
      </w:r>
      <w:proofErr w:type="gramEnd"/>
      <w:r w:rsidR="003A4542">
        <w:t xml:space="preserve"> J </w:t>
      </w:r>
      <w:proofErr w:type="spellStart"/>
      <w:r w:rsidR="003A4542">
        <w:t>Healthc</w:t>
      </w:r>
      <w:proofErr w:type="spellEnd"/>
      <w:r w:rsidR="003A4542">
        <w:t xml:space="preserve"> </w:t>
      </w:r>
      <w:proofErr w:type="spellStart"/>
      <w:r w:rsidR="003A4542">
        <w:t>Qual</w:t>
      </w:r>
      <w:proofErr w:type="spellEnd"/>
      <w:r w:rsidR="003A4542">
        <w:t xml:space="preserve"> 2011 Mar-Apr</w:t>
      </w:r>
      <w:proofErr w:type="gramStart"/>
      <w:r w:rsidR="003A4542">
        <w:t>;33</w:t>
      </w:r>
      <w:proofErr w:type="gramEnd"/>
      <w:r w:rsidR="003A4542">
        <w:t>(2):29-36.</w:t>
      </w:r>
    </w:p>
    <w:p w14:paraId="30A9FD9F" w14:textId="77777777" w:rsidR="005000B6" w:rsidRPr="0008224B" w:rsidRDefault="005000B6" w:rsidP="0008224B">
      <w:pPr>
        <w:spacing w:after="0"/>
        <w:rPr>
          <w:rFonts w:ascii="Calibri" w:hAnsi="Calibri" w:cs="Calibri"/>
          <w:color w:val="000000"/>
        </w:rPr>
        <w:sectPr w:rsidR="005000B6" w:rsidRPr="0008224B" w:rsidSect="00302B8A">
          <w:footerReference w:type="first" r:id="rId31"/>
          <w:footnotePr>
            <w:numFmt w:val="lowerRoman"/>
          </w:footnotePr>
          <w:pgSz w:w="12240" w:h="15840" w:code="1"/>
          <w:pgMar w:top="1440" w:right="1440" w:bottom="1440" w:left="1440" w:header="720" w:footer="720" w:gutter="0"/>
          <w:pgNumType w:start="1"/>
          <w:cols w:space="720"/>
          <w:titlePg/>
          <w:docGrid w:linePitch="360"/>
        </w:sectPr>
      </w:pPr>
    </w:p>
    <w:p w14:paraId="30A9FDA0" w14:textId="50AE730F" w:rsidR="005000B6" w:rsidRPr="008523EE" w:rsidRDefault="005000B6" w:rsidP="000A0EA4">
      <w:pPr>
        <w:pStyle w:val="TableTitle"/>
      </w:pPr>
      <w:proofErr w:type="gramStart"/>
      <w:r w:rsidRPr="008523EE">
        <w:lastRenderedPageBreak/>
        <w:t>Table 1.</w:t>
      </w:r>
      <w:proofErr w:type="gramEnd"/>
      <w:r w:rsidR="00612A3E">
        <w:t xml:space="preserve"> </w:t>
      </w:r>
      <w:r w:rsidRPr="008523EE">
        <w:t>Documentation Issues Pertaining to Each Patient Safety Indicator</w:t>
      </w:r>
    </w:p>
    <w:tbl>
      <w:tblPr>
        <w:tblW w:w="12960" w:type="dxa"/>
        <w:jc w:val="center"/>
        <w:tblLayout w:type="fixed"/>
        <w:tblCellMar>
          <w:top w:w="14" w:type="dxa"/>
          <w:left w:w="115" w:type="dxa"/>
          <w:bottom w:w="14" w:type="dxa"/>
          <w:right w:w="115" w:type="dxa"/>
        </w:tblCellMar>
        <w:tblLook w:val="00A0" w:firstRow="1" w:lastRow="0" w:firstColumn="1" w:lastColumn="0" w:noHBand="0" w:noVBand="0"/>
      </w:tblPr>
      <w:tblGrid>
        <w:gridCol w:w="604"/>
        <w:gridCol w:w="2867"/>
        <w:gridCol w:w="9489"/>
      </w:tblGrid>
      <w:tr w:rsidR="005000B6" w:rsidRPr="00336CF1" w14:paraId="30A9FDA3" w14:textId="77777777" w:rsidTr="000A0EA4">
        <w:trPr>
          <w:trHeight w:val="20"/>
          <w:tblHeader/>
          <w:jc w:val="center"/>
        </w:trPr>
        <w:tc>
          <w:tcPr>
            <w:tcW w:w="3690" w:type="dxa"/>
            <w:gridSpan w:val="2"/>
            <w:tcBorders>
              <w:top w:val="single" w:sz="4" w:space="0" w:color="auto"/>
              <w:left w:val="single" w:sz="4" w:space="0" w:color="auto"/>
              <w:bottom w:val="double" w:sz="4" w:space="0" w:color="auto"/>
              <w:right w:val="single" w:sz="4" w:space="0" w:color="auto"/>
            </w:tcBorders>
            <w:noWrap/>
          </w:tcPr>
          <w:p w14:paraId="30A9FDA1" w14:textId="77777777" w:rsidR="005000B6" w:rsidRPr="000A0EA4" w:rsidRDefault="005000B6" w:rsidP="000A0EA4">
            <w:pPr>
              <w:pStyle w:val="TableText"/>
              <w:jc w:val="center"/>
              <w:rPr>
                <w:b/>
              </w:rPr>
            </w:pPr>
            <w:r w:rsidRPr="000A0EA4">
              <w:rPr>
                <w:b/>
              </w:rPr>
              <w:t>PSI Grouped by Type</w:t>
            </w:r>
          </w:p>
        </w:tc>
        <w:tc>
          <w:tcPr>
            <w:tcW w:w="10170" w:type="dxa"/>
            <w:tcBorders>
              <w:top w:val="single" w:sz="4" w:space="0" w:color="auto"/>
              <w:left w:val="single" w:sz="4" w:space="0" w:color="auto"/>
              <w:bottom w:val="double" w:sz="4" w:space="0" w:color="auto"/>
              <w:right w:val="single" w:sz="4" w:space="0" w:color="auto"/>
            </w:tcBorders>
          </w:tcPr>
          <w:p w14:paraId="30A9FDA2" w14:textId="77777777" w:rsidR="005000B6" w:rsidRPr="000A0EA4" w:rsidRDefault="005000B6" w:rsidP="000A0EA4">
            <w:pPr>
              <w:pStyle w:val="TableText"/>
              <w:jc w:val="center"/>
              <w:rPr>
                <w:b/>
              </w:rPr>
            </w:pPr>
            <w:r w:rsidRPr="000A0EA4">
              <w:rPr>
                <w:b/>
              </w:rPr>
              <w:t>Documentation Problems Identified</w:t>
            </w:r>
          </w:p>
        </w:tc>
      </w:tr>
      <w:tr w:rsidR="005000B6" w:rsidRPr="00336CF1" w14:paraId="30A9FDA6" w14:textId="77777777" w:rsidTr="000A0EA4">
        <w:trPr>
          <w:trHeight w:val="20"/>
          <w:jc w:val="center"/>
        </w:trPr>
        <w:tc>
          <w:tcPr>
            <w:tcW w:w="3690" w:type="dxa"/>
            <w:gridSpan w:val="2"/>
            <w:tcBorders>
              <w:top w:val="double" w:sz="4" w:space="0" w:color="auto"/>
              <w:left w:val="single" w:sz="4" w:space="0" w:color="auto"/>
              <w:bottom w:val="single" w:sz="4" w:space="0" w:color="auto"/>
              <w:right w:val="single" w:sz="4" w:space="0" w:color="auto"/>
            </w:tcBorders>
          </w:tcPr>
          <w:p w14:paraId="30A9FDA4" w14:textId="77777777" w:rsidR="005000B6" w:rsidRPr="007D7C4D" w:rsidRDefault="005000B6" w:rsidP="000A0EA4">
            <w:pPr>
              <w:pStyle w:val="TableText"/>
              <w:rPr>
                <w:b/>
                <w:bCs/>
                <w:sz w:val="24"/>
              </w:rPr>
            </w:pPr>
            <w:r w:rsidRPr="007D7C4D">
              <w:rPr>
                <w:b/>
                <w:bCs/>
              </w:rPr>
              <w:t>Surgical PSIs</w:t>
            </w:r>
          </w:p>
        </w:tc>
        <w:tc>
          <w:tcPr>
            <w:tcW w:w="10170" w:type="dxa"/>
            <w:tcBorders>
              <w:top w:val="double" w:sz="4" w:space="0" w:color="auto"/>
              <w:left w:val="single" w:sz="4" w:space="0" w:color="auto"/>
              <w:bottom w:val="single" w:sz="4" w:space="0" w:color="auto"/>
              <w:right w:val="single" w:sz="4" w:space="0" w:color="auto"/>
            </w:tcBorders>
            <w:noWrap/>
          </w:tcPr>
          <w:p w14:paraId="30A9FDA5" w14:textId="77777777" w:rsidR="005000B6" w:rsidRPr="000A0EA4" w:rsidRDefault="005000B6" w:rsidP="000A0EA4">
            <w:pPr>
              <w:pStyle w:val="TableText"/>
              <w:rPr>
                <w:b/>
              </w:rPr>
            </w:pPr>
          </w:p>
        </w:tc>
      </w:tr>
      <w:tr w:rsidR="005000B6" w:rsidRPr="00336CF1" w14:paraId="30A9FDAA" w14:textId="77777777" w:rsidTr="000A0EA4">
        <w:trPr>
          <w:trHeight w:val="20"/>
          <w:jc w:val="center"/>
        </w:trPr>
        <w:tc>
          <w:tcPr>
            <w:tcW w:w="630" w:type="dxa"/>
            <w:tcBorders>
              <w:top w:val="single" w:sz="4" w:space="0" w:color="auto"/>
              <w:left w:val="single" w:sz="4" w:space="0" w:color="auto"/>
              <w:bottom w:val="single" w:sz="4" w:space="0" w:color="auto"/>
            </w:tcBorders>
          </w:tcPr>
          <w:p w14:paraId="30A9FDA7" w14:textId="77777777" w:rsidR="005000B6" w:rsidRPr="00181360" w:rsidRDefault="005000B6" w:rsidP="000A0EA4">
            <w:pPr>
              <w:pStyle w:val="TableText"/>
              <w:rPr>
                <w:sz w:val="24"/>
              </w:rPr>
            </w:pPr>
            <w:r w:rsidRPr="00181360">
              <w:t>4</w:t>
            </w:r>
          </w:p>
        </w:tc>
        <w:tc>
          <w:tcPr>
            <w:tcW w:w="3060" w:type="dxa"/>
            <w:tcBorders>
              <w:top w:val="single" w:sz="4" w:space="0" w:color="auto"/>
              <w:bottom w:val="single" w:sz="4" w:space="0" w:color="auto"/>
              <w:right w:val="single" w:sz="4" w:space="0" w:color="auto"/>
            </w:tcBorders>
          </w:tcPr>
          <w:p w14:paraId="30A9FDA8" w14:textId="77777777" w:rsidR="005000B6" w:rsidRPr="00181360" w:rsidRDefault="005000B6" w:rsidP="000A0EA4">
            <w:pPr>
              <w:pStyle w:val="TableText"/>
            </w:pPr>
            <w:r w:rsidRPr="00181360">
              <w:t xml:space="preserve">Death Among Surgical Inpatients </w:t>
            </w:r>
            <w:r w:rsidR="007D7C4D">
              <w:t>W</w:t>
            </w:r>
            <w:r w:rsidRPr="00181360">
              <w:t>ith Serious Treatable Conditions</w:t>
            </w:r>
          </w:p>
        </w:tc>
        <w:tc>
          <w:tcPr>
            <w:tcW w:w="10170" w:type="dxa"/>
            <w:tcBorders>
              <w:top w:val="single" w:sz="4" w:space="0" w:color="auto"/>
              <w:left w:val="single" w:sz="4" w:space="0" w:color="auto"/>
              <w:bottom w:val="single" w:sz="4" w:space="0" w:color="auto"/>
              <w:right w:val="single" w:sz="4" w:space="0" w:color="auto"/>
            </w:tcBorders>
            <w:noWrap/>
          </w:tcPr>
          <w:p w14:paraId="30A9FDA9" w14:textId="77777777" w:rsidR="005000B6" w:rsidRPr="00181360" w:rsidRDefault="003B4ECD" w:rsidP="000A0EA4">
            <w:pPr>
              <w:pStyle w:val="TableText"/>
            </w:pPr>
            <w:r>
              <w:t>Document if patient received palliative care.</w:t>
            </w:r>
          </w:p>
        </w:tc>
      </w:tr>
      <w:tr w:rsidR="005000B6" w:rsidRPr="00336CF1" w14:paraId="30A9FDAE" w14:textId="77777777" w:rsidTr="000A0EA4">
        <w:trPr>
          <w:trHeight w:val="20"/>
          <w:jc w:val="center"/>
        </w:trPr>
        <w:tc>
          <w:tcPr>
            <w:tcW w:w="630" w:type="dxa"/>
            <w:tcBorders>
              <w:top w:val="single" w:sz="4" w:space="0" w:color="auto"/>
              <w:left w:val="single" w:sz="4" w:space="0" w:color="auto"/>
              <w:bottom w:val="single" w:sz="4" w:space="0" w:color="auto"/>
            </w:tcBorders>
          </w:tcPr>
          <w:p w14:paraId="30A9FDAB" w14:textId="77777777" w:rsidR="005000B6" w:rsidRPr="00181360" w:rsidRDefault="005000B6" w:rsidP="000A0EA4">
            <w:pPr>
              <w:pStyle w:val="TableText"/>
              <w:rPr>
                <w:sz w:val="24"/>
              </w:rPr>
            </w:pPr>
            <w:r w:rsidRPr="00181360">
              <w:t>5</w:t>
            </w:r>
          </w:p>
        </w:tc>
        <w:tc>
          <w:tcPr>
            <w:tcW w:w="3060" w:type="dxa"/>
            <w:tcBorders>
              <w:top w:val="single" w:sz="4" w:space="0" w:color="auto"/>
              <w:bottom w:val="single" w:sz="4" w:space="0" w:color="auto"/>
              <w:right w:val="single" w:sz="4" w:space="0" w:color="auto"/>
            </w:tcBorders>
          </w:tcPr>
          <w:p w14:paraId="30A9FDAC" w14:textId="77777777" w:rsidR="005000B6" w:rsidRPr="00181360" w:rsidRDefault="005000B6" w:rsidP="000A0EA4">
            <w:pPr>
              <w:pStyle w:val="TableText"/>
            </w:pPr>
            <w:r w:rsidRPr="00181360">
              <w:t>Foreign Body Left During Procedure</w:t>
            </w:r>
          </w:p>
        </w:tc>
        <w:tc>
          <w:tcPr>
            <w:tcW w:w="10170" w:type="dxa"/>
            <w:tcBorders>
              <w:top w:val="single" w:sz="4" w:space="0" w:color="auto"/>
              <w:left w:val="single" w:sz="4" w:space="0" w:color="auto"/>
              <w:bottom w:val="single" w:sz="4" w:space="0" w:color="auto"/>
              <w:right w:val="single" w:sz="4" w:space="0" w:color="auto"/>
            </w:tcBorders>
            <w:noWrap/>
          </w:tcPr>
          <w:p w14:paraId="30A9FDAD" w14:textId="77777777" w:rsidR="005000B6" w:rsidRPr="00181360" w:rsidRDefault="005000B6" w:rsidP="000A0EA4">
            <w:pPr>
              <w:pStyle w:val="TableText"/>
            </w:pPr>
            <w:r w:rsidRPr="00181360">
              <w:t> </w:t>
            </w:r>
          </w:p>
        </w:tc>
      </w:tr>
      <w:tr w:rsidR="005000B6" w:rsidRPr="00336CF1" w14:paraId="30A9FDB2" w14:textId="77777777" w:rsidTr="000A0EA4">
        <w:trPr>
          <w:trHeight w:val="20"/>
          <w:jc w:val="center"/>
        </w:trPr>
        <w:tc>
          <w:tcPr>
            <w:tcW w:w="630" w:type="dxa"/>
            <w:tcBorders>
              <w:top w:val="single" w:sz="4" w:space="0" w:color="auto"/>
              <w:left w:val="single" w:sz="4" w:space="0" w:color="auto"/>
              <w:bottom w:val="single" w:sz="4" w:space="0" w:color="auto"/>
            </w:tcBorders>
          </w:tcPr>
          <w:p w14:paraId="30A9FDAF" w14:textId="77777777" w:rsidR="005000B6" w:rsidRPr="00181360" w:rsidRDefault="005000B6" w:rsidP="000A0EA4">
            <w:pPr>
              <w:pStyle w:val="TableText"/>
              <w:rPr>
                <w:sz w:val="24"/>
              </w:rPr>
            </w:pPr>
            <w:r w:rsidRPr="00181360">
              <w:t>8</w:t>
            </w:r>
          </w:p>
        </w:tc>
        <w:tc>
          <w:tcPr>
            <w:tcW w:w="3060" w:type="dxa"/>
            <w:tcBorders>
              <w:top w:val="single" w:sz="4" w:space="0" w:color="auto"/>
              <w:bottom w:val="single" w:sz="4" w:space="0" w:color="auto"/>
              <w:right w:val="single" w:sz="4" w:space="0" w:color="auto"/>
            </w:tcBorders>
          </w:tcPr>
          <w:p w14:paraId="30A9FDB0" w14:textId="77777777" w:rsidR="005000B6" w:rsidRPr="00181360" w:rsidRDefault="005000B6" w:rsidP="000A0EA4">
            <w:pPr>
              <w:pStyle w:val="TableText"/>
            </w:pPr>
            <w:r w:rsidRPr="00181360">
              <w:t>Postop</w:t>
            </w:r>
            <w:r>
              <w:t>erative</w:t>
            </w:r>
            <w:r w:rsidRPr="00181360">
              <w:t xml:space="preserve"> Hip Fracture</w:t>
            </w:r>
          </w:p>
        </w:tc>
        <w:tc>
          <w:tcPr>
            <w:tcW w:w="10170" w:type="dxa"/>
            <w:tcBorders>
              <w:top w:val="single" w:sz="4" w:space="0" w:color="auto"/>
              <w:left w:val="single" w:sz="4" w:space="0" w:color="auto"/>
              <w:bottom w:val="single" w:sz="4" w:space="0" w:color="auto"/>
              <w:right w:val="single" w:sz="4" w:space="0" w:color="auto"/>
            </w:tcBorders>
            <w:noWrap/>
          </w:tcPr>
          <w:p w14:paraId="30A9FDB1" w14:textId="77777777" w:rsidR="005000B6" w:rsidRPr="00181360" w:rsidRDefault="005000B6" w:rsidP="000A0EA4">
            <w:pPr>
              <w:pStyle w:val="TableText"/>
            </w:pPr>
            <w:r w:rsidRPr="00181360">
              <w:t> </w:t>
            </w:r>
          </w:p>
        </w:tc>
      </w:tr>
      <w:tr w:rsidR="005000B6" w:rsidRPr="00336CF1" w14:paraId="30A9FDB6" w14:textId="77777777" w:rsidTr="000A0EA4">
        <w:trPr>
          <w:trHeight w:val="20"/>
          <w:jc w:val="center"/>
        </w:trPr>
        <w:tc>
          <w:tcPr>
            <w:tcW w:w="630" w:type="dxa"/>
            <w:tcBorders>
              <w:top w:val="single" w:sz="4" w:space="0" w:color="auto"/>
              <w:left w:val="single" w:sz="4" w:space="0" w:color="auto"/>
              <w:bottom w:val="single" w:sz="4" w:space="0" w:color="auto"/>
            </w:tcBorders>
          </w:tcPr>
          <w:p w14:paraId="30A9FDB3" w14:textId="77777777" w:rsidR="005000B6" w:rsidRPr="00181360" w:rsidRDefault="005000B6" w:rsidP="000A0EA4">
            <w:pPr>
              <w:pStyle w:val="TableText"/>
              <w:rPr>
                <w:sz w:val="24"/>
              </w:rPr>
            </w:pPr>
            <w:r w:rsidRPr="00181360">
              <w:t>9</w:t>
            </w:r>
          </w:p>
        </w:tc>
        <w:tc>
          <w:tcPr>
            <w:tcW w:w="3060" w:type="dxa"/>
            <w:tcBorders>
              <w:top w:val="single" w:sz="4" w:space="0" w:color="auto"/>
              <w:bottom w:val="single" w:sz="4" w:space="0" w:color="auto"/>
              <w:right w:val="single" w:sz="4" w:space="0" w:color="auto"/>
            </w:tcBorders>
          </w:tcPr>
          <w:p w14:paraId="30A9FDB4" w14:textId="77777777" w:rsidR="005000B6" w:rsidRPr="00181360" w:rsidRDefault="005000B6" w:rsidP="000A0EA4">
            <w:pPr>
              <w:pStyle w:val="TableText"/>
            </w:pPr>
            <w:r w:rsidRPr="00181360">
              <w:t>Postop</w:t>
            </w:r>
            <w:r>
              <w:t>erative</w:t>
            </w:r>
            <w:r w:rsidRPr="00181360">
              <w:t xml:space="preserve"> Hemorrhage or Hematoma</w:t>
            </w:r>
          </w:p>
        </w:tc>
        <w:tc>
          <w:tcPr>
            <w:tcW w:w="10170" w:type="dxa"/>
            <w:tcBorders>
              <w:top w:val="single" w:sz="4" w:space="0" w:color="auto"/>
              <w:left w:val="single" w:sz="4" w:space="0" w:color="auto"/>
              <w:bottom w:val="single" w:sz="4" w:space="0" w:color="auto"/>
              <w:right w:val="single" w:sz="4" w:space="0" w:color="auto"/>
            </w:tcBorders>
            <w:noWrap/>
          </w:tcPr>
          <w:p w14:paraId="30A9FDB5" w14:textId="77777777" w:rsidR="005000B6" w:rsidRPr="00181360" w:rsidRDefault="005000B6" w:rsidP="000A0EA4">
            <w:pPr>
              <w:pStyle w:val="TableText"/>
            </w:pPr>
            <w:r w:rsidRPr="00EA64A7">
              <w:t>Need to distinguish between ecchymosis (flat bruising of the skin) and hematoma (bruising with mass)</w:t>
            </w:r>
            <w:r w:rsidR="007D7C4D">
              <w:t>.</w:t>
            </w:r>
          </w:p>
        </w:tc>
      </w:tr>
      <w:tr w:rsidR="005000B6" w:rsidRPr="00336CF1" w14:paraId="30A9FDBA" w14:textId="77777777" w:rsidTr="000A0EA4">
        <w:trPr>
          <w:trHeight w:val="20"/>
          <w:jc w:val="center"/>
        </w:trPr>
        <w:tc>
          <w:tcPr>
            <w:tcW w:w="630" w:type="dxa"/>
            <w:tcBorders>
              <w:top w:val="single" w:sz="4" w:space="0" w:color="auto"/>
              <w:left w:val="single" w:sz="4" w:space="0" w:color="auto"/>
              <w:bottom w:val="single" w:sz="4" w:space="0" w:color="auto"/>
            </w:tcBorders>
          </w:tcPr>
          <w:p w14:paraId="30A9FDB7" w14:textId="77777777" w:rsidR="005000B6" w:rsidRPr="00181360" w:rsidRDefault="005000B6" w:rsidP="000A0EA4">
            <w:pPr>
              <w:pStyle w:val="TableText"/>
              <w:rPr>
                <w:sz w:val="24"/>
              </w:rPr>
            </w:pPr>
            <w:r w:rsidRPr="00181360">
              <w:t>10</w:t>
            </w:r>
          </w:p>
        </w:tc>
        <w:tc>
          <w:tcPr>
            <w:tcW w:w="3060" w:type="dxa"/>
            <w:tcBorders>
              <w:top w:val="single" w:sz="4" w:space="0" w:color="auto"/>
              <w:bottom w:val="single" w:sz="4" w:space="0" w:color="auto"/>
              <w:right w:val="single" w:sz="4" w:space="0" w:color="auto"/>
            </w:tcBorders>
          </w:tcPr>
          <w:p w14:paraId="30A9FDB8" w14:textId="77777777" w:rsidR="005000B6" w:rsidRPr="00181360" w:rsidRDefault="005000B6" w:rsidP="000A0EA4">
            <w:pPr>
              <w:pStyle w:val="TableText"/>
            </w:pPr>
            <w:r w:rsidRPr="00181360">
              <w:t>Postop</w:t>
            </w:r>
            <w:r>
              <w:t>erative</w:t>
            </w:r>
            <w:r w:rsidRPr="00181360">
              <w:t xml:space="preserve"> Physiologic </w:t>
            </w:r>
            <w:r w:rsidR="007D7C4D">
              <w:t>and</w:t>
            </w:r>
            <w:r w:rsidRPr="00181360">
              <w:t xml:space="preserve"> Metabolic Derangement</w:t>
            </w:r>
          </w:p>
        </w:tc>
        <w:tc>
          <w:tcPr>
            <w:tcW w:w="10170" w:type="dxa"/>
            <w:tcBorders>
              <w:top w:val="single" w:sz="4" w:space="0" w:color="auto"/>
              <w:left w:val="single" w:sz="4" w:space="0" w:color="auto"/>
              <w:bottom w:val="single" w:sz="4" w:space="0" w:color="auto"/>
              <w:right w:val="single" w:sz="4" w:space="0" w:color="auto"/>
            </w:tcBorders>
            <w:noWrap/>
          </w:tcPr>
          <w:p w14:paraId="30A9FDB9" w14:textId="77777777" w:rsidR="005000B6" w:rsidRPr="00181360" w:rsidRDefault="003F1826" w:rsidP="000A0EA4">
            <w:pPr>
              <w:pStyle w:val="TableText"/>
            </w:pPr>
            <w:r>
              <w:t xml:space="preserve">Exclude preexisting conditions. </w:t>
            </w:r>
            <w:r w:rsidR="005000B6" w:rsidRPr="00181360">
              <w:t>Review ionic contrast documentation</w:t>
            </w:r>
            <w:r w:rsidR="005000B6">
              <w:t xml:space="preserve"> </w:t>
            </w:r>
            <w:r w:rsidR="00CA5D7D">
              <w:t xml:space="preserve">to </w:t>
            </w:r>
            <w:r w:rsidR="00691A1A">
              <w:t>assess whether</w:t>
            </w:r>
            <w:r w:rsidR="00CA5D7D">
              <w:t xml:space="preserve"> </w:t>
            </w:r>
            <w:r w:rsidR="00691A1A">
              <w:t>the radiology contrast media</w:t>
            </w:r>
            <w:r w:rsidR="00CA5D7D">
              <w:t xml:space="preserve"> was the cause of the postoperative physiologic and metabolic derangement</w:t>
            </w:r>
            <w:r>
              <w:t xml:space="preserve">. </w:t>
            </w:r>
          </w:p>
        </w:tc>
      </w:tr>
      <w:tr w:rsidR="005000B6" w:rsidRPr="00336CF1" w14:paraId="30A9FDBF" w14:textId="77777777" w:rsidTr="000A0EA4">
        <w:trPr>
          <w:trHeight w:val="20"/>
          <w:jc w:val="center"/>
        </w:trPr>
        <w:tc>
          <w:tcPr>
            <w:tcW w:w="630" w:type="dxa"/>
            <w:tcBorders>
              <w:top w:val="single" w:sz="4" w:space="0" w:color="auto"/>
              <w:left w:val="single" w:sz="4" w:space="0" w:color="auto"/>
              <w:bottom w:val="single" w:sz="4" w:space="0" w:color="auto"/>
            </w:tcBorders>
          </w:tcPr>
          <w:p w14:paraId="30A9FDBB" w14:textId="77777777" w:rsidR="005000B6" w:rsidRPr="00181360" w:rsidRDefault="005000B6" w:rsidP="000A0EA4">
            <w:pPr>
              <w:pStyle w:val="TableText"/>
              <w:rPr>
                <w:sz w:val="24"/>
              </w:rPr>
            </w:pPr>
            <w:r w:rsidRPr="00181360">
              <w:t>11</w:t>
            </w:r>
          </w:p>
        </w:tc>
        <w:tc>
          <w:tcPr>
            <w:tcW w:w="3060" w:type="dxa"/>
            <w:tcBorders>
              <w:top w:val="single" w:sz="4" w:space="0" w:color="auto"/>
              <w:bottom w:val="single" w:sz="4" w:space="0" w:color="auto"/>
              <w:right w:val="single" w:sz="4" w:space="0" w:color="auto"/>
            </w:tcBorders>
          </w:tcPr>
          <w:p w14:paraId="30A9FDBC" w14:textId="77777777" w:rsidR="005000B6" w:rsidRPr="00181360" w:rsidRDefault="005000B6" w:rsidP="000A0EA4">
            <w:pPr>
              <w:pStyle w:val="TableText"/>
            </w:pPr>
            <w:r w:rsidRPr="00181360">
              <w:t>Postop</w:t>
            </w:r>
            <w:r>
              <w:t>erative</w:t>
            </w:r>
            <w:r w:rsidRPr="00181360">
              <w:t xml:space="preserve"> Respiratory Failure</w:t>
            </w:r>
          </w:p>
        </w:tc>
        <w:tc>
          <w:tcPr>
            <w:tcW w:w="10170" w:type="dxa"/>
            <w:tcBorders>
              <w:top w:val="single" w:sz="4" w:space="0" w:color="auto"/>
              <w:left w:val="single" w:sz="4" w:space="0" w:color="auto"/>
              <w:bottom w:val="single" w:sz="4" w:space="0" w:color="auto"/>
              <w:right w:val="single" w:sz="4" w:space="0" w:color="auto"/>
            </w:tcBorders>
            <w:noWrap/>
          </w:tcPr>
          <w:p w14:paraId="30A9FDBD" w14:textId="77777777" w:rsidR="005000B6" w:rsidRDefault="005000B6" w:rsidP="000A0EA4">
            <w:pPr>
              <w:pStyle w:val="TableText"/>
            </w:pPr>
            <w:r w:rsidRPr="00181360">
              <w:t xml:space="preserve">Respiratory failure may be documented or coded </w:t>
            </w:r>
            <w:r>
              <w:t xml:space="preserve">incorrectly </w:t>
            </w:r>
            <w:r w:rsidRPr="00181360">
              <w:t>when the diagnosis actually is respiratory insufficiency</w:t>
            </w:r>
            <w:r>
              <w:t xml:space="preserve">. </w:t>
            </w:r>
          </w:p>
          <w:p w14:paraId="30A9FDBE" w14:textId="77777777" w:rsidR="005000B6" w:rsidRPr="00181360" w:rsidRDefault="005000B6" w:rsidP="000A0EA4">
            <w:pPr>
              <w:pStyle w:val="TableText"/>
            </w:pPr>
            <w:r>
              <w:t>Some events coded as respiratory failure are a normal part of the postoperative course, not respiratory failure.</w:t>
            </w:r>
            <w:r w:rsidRPr="00181360">
              <w:t xml:space="preserve"> </w:t>
            </w:r>
          </w:p>
        </w:tc>
      </w:tr>
      <w:tr w:rsidR="005000B6" w:rsidRPr="00336CF1" w14:paraId="30A9FDC3" w14:textId="77777777" w:rsidTr="000A0EA4">
        <w:trPr>
          <w:trHeight w:val="20"/>
          <w:jc w:val="center"/>
        </w:trPr>
        <w:tc>
          <w:tcPr>
            <w:tcW w:w="630" w:type="dxa"/>
            <w:tcBorders>
              <w:top w:val="single" w:sz="4" w:space="0" w:color="auto"/>
              <w:left w:val="single" w:sz="4" w:space="0" w:color="auto"/>
              <w:bottom w:val="single" w:sz="4" w:space="0" w:color="auto"/>
            </w:tcBorders>
          </w:tcPr>
          <w:p w14:paraId="30A9FDC0" w14:textId="77777777" w:rsidR="005000B6" w:rsidRPr="00181360" w:rsidRDefault="005000B6" w:rsidP="000A0EA4">
            <w:pPr>
              <w:pStyle w:val="TableText"/>
              <w:rPr>
                <w:sz w:val="24"/>
              </w:rPr>
            </w:pPr>
            <w:r w:rsidRPr="00181360">
              <w:t>12</w:t>
            </w:r>
          </w:p>
        </w:tc>
        <w:tc>
          <w:tcPr>
            <w:tcW w:w="3060" w:type="dxa"/>
            <w:tcBorders>
              <w:top w:val="single" w:sz="4" w:space="0" w:color="auto"/>
              <w:bottom w:val="single" w:sz="4" w:space="0" w:color="auto"/>
              <w:right w:val="single" w:sz="4" w:space="0" w:color="auto"/>
            </w:tcBorders>
          </w:tcPr>
          <w:p w14:paraId="30A9FDC1" w14:textId="77777777" w:rsidR="005000B6" w:rsidRPr="00181360" w:rsidRDefault="005000B6" w:rsidP="000A0EA4">
            <w:pPr>
              <w:pStyle w:val="TableText"/>
            </w:pPr>
            <w:r w:rsidRPr="00181360">
              <w:t>D</w:t>
            </w:r>
            <w:r w:rsidR="007D7C4D">
              <w:t xml:space="preserve">eep </w:t>
            </w:r>
            <w:r w:rsidRPr="00181360">
              <w:t>V</w:t>
            </w:r>
            <w:r w:rsidR="007D7C4D">
              <w:t xml:space="preserve">ein </w:t>
            </w:r>
            <w:r w:rsidRPr="00181360">
              <w:t>T</w:t>
            </w:r>
            <w:r w:rsidR="007D7C4D">
              <w:t>hrombosis</w:t>
            </w:r>
            <w:r w:rsidR="00F927D2">
              <w:t xml:space="preserve"> (DVT)</w:t>
            </w:r>
          </w:p>
        </w:tc>
        <w:tc>
          <w:tcPr>
            <w:tcW w:w="10170" w:type="dxa"/>
            <w:tcBorders>
              <w:top w:val="single" w:sz="4" w:space="0" w:color="auto"/>
              <w:left w:val="single" w:sz="4" w:space="0" w:color="auto"/>
              <w:bottom w:val="single" w:sz="4" w:space="0" w:color="auto"/>
              <w:right w:val="single" w:sz="4" w:space="0" w:color="auto"/>
            </w:tcBorders>
            <w:noWrap/>
          </w:tcPr>
          <w:p w14:paraId="30A9FDC2" w14:textId="77777777" w:rsidR="005000B6" w:rsidRPr="00181360" w:rsidRDefault="005000B6" w:rsidP="000A0EA4">
            <w:pPr>
              <w:pStyle w:val="TableText"/>
            </w:pPr>
            <w:r>
              <w:t>I</w:t>
            </w:r>
            <w:r w:rsidRPr="00181360">
              <w:t xml:space="preserve">nadequate documentation, such as “rule out” DVT or </w:t>
            </w:r>
            <w:r w:rsidR="007D7C4D">
              <w:t>pulmonary embolism</w:t>
            </w:r>
            <w:r>
              <w:t>,</w:t>
            </w:r>
            <w:r w:rsidRPr="00181360">
              <w:t xml:space="preserve"> without alternative diagnosis established after study</w:t>
            </w:r>
            <w:r>
              <w:t>,</w:t>
            </w:r>
            <w:r w:rsidRPr="00181360">
              <w:t xml:space="preserve"> </w:t>
            </w:r>
            <w:r>
              <w:t xml:space="preserve">can lead to inaccurate coding </w:t>
            </w:r>
            <w:r w:rsidRPr="00181360">
              <w:t>(Romano</w:t>
            </w:r>
            <w:r w:rsidR="00FF6D8B">
              <w:t>,</w:t>
            </w:r>
            <w:r w:rsidRPr="00181360">
              <w:t xml:space="preserve"> 2010)</w:t>
            </w:r>
            <w:r w:rsidR="007D7C4D">
              <w:t>.</w:t>
            </w:r>
          </w:p>
        </w:tc>
      </w:tr>
      <w:tr w:rsidR="005000B6" w:rsidRPr="00336CF1" w14:paraId="30A9FDCD" w14:textId="77777777" w:rsidTr="000A0EA4">
        <w:trPr>
          <w:trHeight w:val="20"/>
          <w:jc w:val="center"/>
        </w:trPr>
        <w:tc>
          <w:tcPr>
            <w:tcW w:w="630" w:type="dxa"/>
            <w:tcBorders>
              <w:top w:val="single" w:sz="4" w:space="0" w:color="auto"/>
              <w:left w:val="single" w:sz="4" w:space="0" w:color="auto"/>
              <w:bottom w:val="single" w:sz="4" w:space="0" w:color="auto"/>
            </w:tcBorders>
          </w:tcPr>
          <w:p w14:paraId="30A9FDC4" w14:textId="77777777" w:rsidR="005000B6" w:rsidRPr="00181360" w:rsidRDefault="005000B6" w:rsidP="000A0EA4">
            <w:pPr>
              <w:pStyle w:val="TableText"/>
              <w:rPr>
                <w:sz w:val="24"/>
              </w:rPr>
            </w:pPr>
            <w:r w:rsidRPr="00181360">
              <w:t>13</w:t>
            </w:r>
          </w:p>
        </w:tc>
        <w:tc>
          <w:tcPr>
            <w:tcW w:w="3060" w:type="dxa"/>
            <w:tcBorders>
              <w:top w:val="single" w:sz="4" w:space="0" w:color="auto"/>
              <w:bottom w:val="single" w:sz="4" w:space="0" w:color="auto"/>
              <w:right w:val="single" w:sz="4" w:space="0" w:color="auto"/>
            </w:tcBorders>
          </w:tcPr>
          <w:p w14:paraId="30A9FDC5" w14:textId="77777777" w:rsidR="005000B6" w:rsidRPr="00181360" w:rsidRDefault="005000B6" w:rsidP="000A0EA4">
            <w:pPr>
              <w:pStyle w:val="TableText"/>
            </w:pPr>
            <w:r w:rsidRPr="00181360">
              <w:t>Postop</w:t>
            </w:r>
            <w:r>
              <w:t>erative</w:t>
            </w:r>
            <w:r w:rsidRPr="00181360">
              <w:t xml:space="preserve"> Sepsis</w:t>
            </w:r>
          </w:p>
        </w:tc>
        <w:tc>
          <w:tcPr>
            <w:tcW w:w="10170" w:type="dxa"/>
            <w:tcBorders>
              <w:top w:val="single" w:sz="4" w:space="0" w:color="auto"/>
              <w:left w:val="single" w:sz="4" w:space="0" w:color="auto"/>
              <w:bottom w:val="single" w:sz="4" w:space="0" w:color="auto"/>
              <w:right w:val="single" w:sz="4" w:space="0" w:color="auto"/>
            </w:tcBorders>
            <w:noWrap/>
          </w:tcPr>
          <w:p w14:paraId="30A9FDC6" w14:textId="1CE1974D" w:rsidR="005000B6" w:rsidRDefault="005000B6" w:rsidP="000A0EA4">
            <w:pPr>
              <w:pStyle w:val="TableText"/>
            </w:pPr>
            <w:r w:rsidRPr="00181360">
              <w:t>Cannot code as postop</w:t>
            </w:r>
            <w:r>
              <w:t>erative</w:t>
            </w:r>
            <w:r w:rsidRPr="00181360">
              <w:t xml:space="preserve"> sepsis if documentation does not indicate whether infection actually </w:t>
            </w:r>
            <w:r>
              <w:t>occurred,</w:t>
            </w:r>
            <w:r w:rsidRPr="00181360">
              <w:t xml:space="preserve"> </w:t>
            </w:r>
            <w:r>
              <w:t xml:space="preserve">such as </w:t>
            </w:r>
            <w:r w:rsidRPr="00181360">
              <w:t>lack of appropriate cultures/tests</w:t>
            </w:r>
            <w:r>
              <w:t>.</w:t>
            </w:r>
            <w:r w:rsidR="00612A3E">
              <w:t xml:space="preserve"> </w:t>
            </w:r>
            <w:r>
              <w:t>Q</w:t>
            </w:r>
            <w:r w:rsidRPr="00EA64A7">
              <w:t xml:space="preserve">uery </w:t>
            </w:r>
            <w:r>
              <w:t>the physician</w:t>
            </w:r>
            <w:r w:rsidRPr="00EA64A7">
              <w:t xml:space="preserve"> when</w:t>
            </w:r>
            <w:r>
              <w:t>:</w:t>
            </w:r>
            <w:r w:rsidRPr="00EA64A7">
              <w:t xml:space="preserve"> </w:t>
            </w:r>
          </w:p>
          <w:p w14:paraId="30A9FDC7" w14:textId="6FEDB5ED" w:rsidR="005000B6" w:rsidRDefault="005000B6" w:rsidP="000A0EA4">
            <w:pPr>
              <w:pStyle w:val="TableText"/>
              <w:numPr>
                <w:ilvl w:val="0"/>
                <w:numId w:val="23"/>
              </w:numPr>
            </w:pPr>
            <w:r>
              <w:t>T</w:t>
            </w:r>
            <w:r w:rsidRPr="00EA64A7">
              <w:t>here is no documentation anywhere in the record of sepsis other than the Discharge Summary.;</w:t>
            </w:r>
            <w:r w:rsidR="00612A3E">
              <w:t xml:space="preserve"> </w:t>
            </w:r>
          </w:p>
          <w:p w14:paraId="30A9FDC8" w14:textId="77777777" w:rsidR="005000B6" w:rsidRDefault="005000B6" w:rsidP="000A0EA4">
            <w:pPr>
              <w:pStyle w:val="TableText"/>
              <w:numPr>
                <w:ilvl w:val="0"/>
                <w:numId w:val="23"/>
              </w:numPr>
            </w:pPr>
            <w:r>
              <w:t>S</w:t>
            </w:r>
            <w:r w:rsidRPr="00EA64A7">
              <w:t>everal progress notes state sepsis but it is not consistent in all of the progress notes and it is not documented at the time of discharge (i.e.</w:t>
            </w:r>
            <w:r w:rsidR="007D7C4D">
              <w:t>,</w:t>
            </w:r>
            <w:r w:rsidRPr="00EA64A7">
              <w:t xml:space="preserve"> discharge summary or final progress note) or present in an ID consult. </w:t>
            </w:r>
          </w:p>
          <w:p w14:paraId="30A9FDC9" w14:textId="1B242641" w:rsidR="005000B6" w:rsidRDefault="005000B6" w:rsidP="000A0EA4">
            <w:pPr>
              <w:pStyle w:val="TableText"/>
              <w:numPr>
                <w:ilvl w:val="0"/>
                <w:numId w:val="23"/>
              </w:numPr>
            </w:pPr>
            <w:r w:rsidRPr="00EA64A7">
              <w:t>Sepsis is documented early in the visit (i.e.</w:t>
            </w:r>
            <w:r w:rsidR="007D7C4D">
              <w:t>,</w:t>
            </w:r>
            <w:r w:rsidRPr="00EA64A7">
              <w:t xml:space="preserve"> the </w:t>
            </w:r>
            <w:r w:rsidR="007D7C4D">
              <w:t xml:space="preserve">emergency </w:t>
            </w:r>
            <w:proofErr w:type="spellStart"/>
            <w:r w:rsidR="007D7C4D">
              <w:t>departtment</w:t>
            </w:r>
            <w:proofErr w:type="spellEnd"/>
            <w:r w:rsidRPr="00EA64A7">
              <w:t xml:space="preserve"> and first progress note) but is not listed as a diagnosis</w:t>
            </w:r>
            <w:r w:rsidR="00612A3E">
              <w:t xml:space="preserve"> </w:t>
            </w:r>
            <w:r w:rsidRPr="00EA64A7">
              <w:t xml:space="preserve">throughout the chart or in the discharge summary. </w:t>
            </w:r>
          </w:p>
          <w:p w14:paraId="30A9FDCA" w14:textId="77777777" w:rsidR="005000B6" w:rsidRDefault="005000B6" w:rsidP="000A0EA4">
            <w:pPr>
              <w:pStyle w:val="TableText"/>
              <w:numPr>
                <w:ilvl w:val="0"/>
                <w:numId w:val="23"/>
              </w:numPr>
            </w:pPr>
            <w:r w:rsidRPr="00EA64A7">
              <w:t>Both bacteremia and sepsis are documented. (</w:t>
            </w:r>
            <w:proofErr w:type="gramStart"/>
            <w:r w:rsidRPr="00EA64A7">
              <w:t>bacteremia</w:t>
            </w:r>
            <w:proofErr w:type="gramEnd"/>
            <w:r w:rsidRPr="00EA64A7">
              <w:t xml:space="preserve"> is a laboratory finding of bacteria in the blood). Seek clarification for conflicting documentation. </w:t>
            </w:r>
          </w:p>
          <w:p w14:paraId="30A9FDCB" w14:textId="77777777" w:rsidR="005000B6" w:rsidRPr="00EA64A7" w:rsidRDefault="005000B6" w:rsidP="000A0EA4">
            <w:pPr>
              <w:pStyle w:val="TableText"/>
              <w:numPr>
                <w:ilvl w:val="0"/>
                <w:numId w:val="23"/>
              </w:numPr>
            </w:pPr>
            <w:r w:rsidRPr="00EA64A7">
              <w:t>The documentation is not clear as to whether an acute organ dysfunction is related to the sepsis or another medical condition. (</w:t>
            </w:r>
            <w:r w:rsidR="007D7C4D">
              <w:t>S</w:t>
            </w:r>
            <w:r w:rsidRPr="00EA64A7">
              <w:t>evere sepsis can only be coded if there is documentation to support a relationship between the severe sepsis and the acute organ dysfunction</w:t>
            </w:r>
            <w:r w:rsidR="00B53565">
              <w:t>.</w:t>
            </w:r>
            <w:r w:rsidRPr="00EA64A7">
              <w:t xml:space="preserve">) (UHC Documentation Guide, </w:t>
            </w:r>
            <w:proofErr w:type="spellStart"/>
            <w:r w:rsidRPr="00EA64A7">
              <w:t>Sepsis_SIRS</w:t>
            </w:r>
            <w:proofErr w:type="spellEnd"/>
            <w:r w:rsidRPr="00EA64A7">
              <w:t>)</w:t>
            </w:r>
            <w:r>
              <w:t>.</w:t>
            </w:r>
          </w:p>
          <w:p w14:paraId="30A9FDCC" w14:textId="77777777" w:rsidR="005000B6" w:rsidRPr="00181360" w:rsidRDefault="005000B6" w:rsidP="000A0EA4">
            <w:pPr>
              <w:pStyle w:val="TableText"/>
            </w:pPr>
            <w:r w:rsidRPr="00EA64A7">
              <w:t xml:space="preserve">If the medical record uses the term </w:t>
            </w:r>
            <w:proofErr w:type="spellStart"/>
            <w:r w:rsidRPr="00EA64A7">
              <w:t>urosepsis</w:t>
            </w:r>
            <w:proofErr w:type="spellEnd"/>
            <w:r w:rsidRPr="00EA64A7">
              <w:t xml:space="preserve"> and meets the clinical indicators for sepsis, query the M</w:t>
            </w:r>
            <w:r w:rsidR="00B53565">
              <w:t>.</w:t>
            </w:r>
            <w:r w:rsidRPr="00EA64A7">
              <w:t>D</w:t>
            </w:r>
            <w:r w:rsidR="00B53565">
              <w:t>.</w:t>
            </w:r>
            <w:r w:rsidRPr="00EA64A7">
              <w:t xml:space="preserve"> to determine if </w:t>
            </w:r>
            <w:proofErr w:type="spellStart"/>
            <w:r w:rsidRPr="00EA64A7">
              <w:t>urosepsis</w:t>
            </w:r>
            <w:proofErr w:type="spellEnd"/>
            <w:r w:rsidRPr="00EA64A7">
              <w:t xml:space="preserve"> means a simple </w:t>
            </w:r>
            <w:r w:rsidR="00B53565">
              <w:t>urinary tract infection</w:t>
            </w:r>
            <w:r w:rsidRPr="00EA64A7">
              <w:t xml:space="preserve"> or sepsis (UHC Documentation Guide, </w:t>
            </w:r>
            <w:proofErr w:type="spellStart"/>
            <w:r w:rsidRPr="00EA64A7">
              <w:t>Sepsis_SIRS</w:t>
            </w:r>
            <w:proofErr w:type="spellEnd"/>
            <w:r w:rsidRPr="00EA64A7">
              <w:t>)</w:t>
            </w:r>
            <w:r w:rsidR="00B53565">
              <w:t>.</w:t>
            </w:r>
          </w:p>
        </w:tc>
      </w:tr>
      <w:tr w:rsidR="005000B6" w:rsidRPr="00336CF1" w14:paraId="30A9FDD1" w14:textId="77777777" w:rsidTr="000A0EA4">
        <w:trPr>
          <w:cantSplit/>
          <w:trHeight w:val="20"/>
          <w:jc w:val="center"/>
        </w:trPr>
        <w:tc>
          <w:tcPr>
            <w:tcW w:w="630" w:type="dxa"/>
            <w:tcBorders>
              <w:top w:val="single" w:sz="4" w:space="0" w:color="auto"/>
              <w:left w:val="single" w:sz="4" w:space="0" w:color="auto"/>
              <w:bottom w:val="single" w:sz="4" w:space="0" w:color="auto"/>
            </w:tcBorders>
          </w:tcPr>
          <w:p w14:paraId="30A9FDCE" w14:textId="77777777" w:rsidR="005000B6" w:rsidRPr="00181360" w:rsidRDefault="005000B6" w:rsidP="000A0EA4">
            <w:pPr>
              <w:pStyle w:val="TableText"/>
              <w:rPr>
                <w:sz w:val="24"/>
              </w:rPr>
            </w:pPr>
            <w:r w:rsidRPr="00181360">
              <w:t>14</w:t>
            </w:r>
          </w:p>
        </w:tc>
        <w:tc>
          <w:tcPr>
            <w:tcW w:w="3060" w:type="dxa"/>
            <w:tcBorders>
              <w:top w:val="single" w:sz="4" w:space="0" w:color="auto"/>
              <w:bottom w:val="single" w:sz="4" w:space="0" w:color="auto"/>
              <w:right w:val="single" w:sz="4" w:space="0" w:color="auto"/>
            </w:tcBorders>
          </w:tcPr>
          <w:p w14:paraId="30A9FDCF" w14:textId="77777777" w:rsidR="005000B6" w:rsidRPr="00181360" w:rsidRDefault="005000B6" w:rsidP="000A0EA4">
            <w:pPr>
              <w:pStyle w:val="TableText"/>
            </w:pPr>
            <w:r w:rsidRPr="00181360">
              <w:t>Postop</w:t>
            </w:r>
            <w:r>
              <w:t>erative</w:t>
            </w:r>
            <w:r w:rsidRPr="00181360">
              <w:t xml:space="preserve"> Wound Dehiscence</w:t>
            </w:r>
          </w:p>
        </w:tc>
        <w:tc>
          <w:tcPr>
            <w:tcW w:w="10170" w:type="dxa"/>
            <w:tcBorders>
              <w:top w:val="single" w:sz="4" w:space="0" w:color="auto"/>
              <w:left w:val="single" w:sz="4" w:space="0" w:color="auto"/>
              <w:bottom w:val="single" w:sz="4" w:space="0" w:color="auto"/>
              <w:right w:val="single" w:sz="4" w:space="0" w:color="auto"/>
            </w:tcBorders>
            <w:noWrap/>
          </w:tcPr>
          <w:p w14:paraId="30A9FDD0" w14:textId="77777777" w:rsidR="005000B6" w:rsidRPr="00181360" w:rsidRDefault="005000B6" w:rsidP="000A0EA4">
            <w:pPr>
              <w:pStyle w:val="TableText"/>
            </w:pPr>
            <w:r w:rsidRPr="00181360">
              <w:t> </w:t>
            </w:r>
          </w:p>
        </w:tc>
      </w:tr>
      <w:tr w:rsidR="005000B6" w:rsidRPr="00336CF1" w14:paraId="30A9FDD4" w14:textId="77777777" w:rsidTr="000A0EA4">
        <w:trPr>
          <w:trHeight w:val="20"/>
          <w:jc w:val="center"/>
        </w:trPr>
        <w:tc>
          <w:tcPr>
            <w:tcW w:w="3690" w:type="dxa"/>
            <w:gridSpan w:val="2"/>
            <w:tcBorders>
              <w:top w:val="single" w:sz="4" w:space="0" w:color="auto"/>
              <w:left w:val="single" w:sz="4" w:space="0" w:color="auto"/>
              <w:bottom w:val="single" w:sz="4" w:space="0" w:color="auto"/>
              <w:right w:val="single" w:sz="4" w:space="0" w:color="auto"/>
            </w:tcBorders>
          </w:tcPr>
          <w:p w14:paraId="30A9FDD2" w14:textId="77777777" w:rsidR="005000B6" w:rsidRPr="00972BE8" w:rsidRDefault="005000B6" w:rsidP="000A0EA4">
            <w:pPr>
              <w:pStyle w:val="TableText"/>
              <w:rPr>
                <w:b/>
                <w:bCs/>
                <w:sz w:val="24"/>
              </w:rPr>
            </w:pPr>
            <w:r w:rsidRPr="00972BE8">
              <w:rPr>
                <w:b/>
                <w:bCs/>
              </w:rPr>
              <w:lastRenderedPageBreak/>
              <w:t>Medical and Surgical PSIs</w:t>
            </w:r>
          </w:p>
        </w:tc>
        <w:tc>
          <w:tcPr>
            <w:tcW w:w="10170" w:type="dxa"/>
            <w:tcBorders>
              <w:top w:val="single" w:sz="4" w:space="0" w:color="auto"/>
              <w:left w:val="single" w:sz="4" w:space="0" w:color="auto"/>
              <w:bottom w:val="single" w:sz="4" w:space="0" w:color="auto"/>
              <w:right w:val="single" w:sz="4" w:space="0" w:color="auto"/>
            </w:tcBorders>
            <w:noWrap/>
          </w:tcPr>
          <w:p w14:paraId="30A9FDD3" w14:textId="77777777" w:rsidR="005000B6" w:rsidRPr="00181360" w:rsidRDefault="005000B6" w:rsidP="000A0EA4">
            <w:pPr>
              <w:pStyle w:val="TableText"/>
            </w:pPr>
          </w:p>
        </w:tc>
      </w:tr>
      <w:tr w:rsidR="005000B6" w:rsidRPr="00336CF1" w14:paraId="30A9FDD8" w14:textId="77777777" w:rsidTr="000A0EA4">
        <w:trPr>
          <w:trHeight w:val="20"/>
          <w:jc w:val="center"/>
        </w:trPr>
        <w:tc>
          <w:tcPr>
            <w:tcW w:w="630" w:type="dxa"/>
            <w:tcBorders>
              <w:top w:val="single" w:sz="4" w:space="0" w:color="auto"/>
              <w:left w:val="single" w:sz="4" w:space="0" w:color="auto"/>
              <w:bottom w:val="single" w:sz="4" w:space="0" w:color="auto"/>
            </w:tcBorders>
          </w:tcPr>
          <w:p w14:paraId="30A9FDD5" w14:textId="77777777" w:rsidR="005000B6" w:rsidRPr="00181360" w:rsidRDefault="005000B6" w:rsidP="000A0EA4">
            <w:pPr>
              <w:pStyle w:val="TableText"/>
              <w:rPr>
                <w:sz w:val="24"/>
              </w:rPr>
            </w:pPr>
            <w:r w:rsidRPr="00181360">
              <w:t>2</w:t>
            </w:r>
          </w:p>
        </w:tc>
        <w:tc>
          <w:tcPr>
            <w:tcW w:w="3060" w:type="dxa"/>
            <w:tcBorders>
              <w:top w:val="single" w:sz="4" w:space="0" w:color="auto"/>
              <w:bottom w:val="single" w:sz="4" w:space="0" w:color="auto"/>
              <w:right w:val="single" w:sz="4" w:space="0" w:color="auto"/>
            </w:tcBorders>
          </w:tcPr>
          <w:p w14:paraId="30A9FDD6" w14:textId="77777777" w:rsidR="005000B6" w:rsidRPr="00181360" w:rsidRDefault="005000B6" w:rsidP="000A0EA4">
            <w:pPr>
              <w:pStyle w:val="TableText"/>
            </w:pPr>
            <w:r w:rsidRPr="00181360">
              <w:t xml:space="preserve">Death in </w:t>
            </w:r>
            <w:r w:rsidR="00010A0E">
              <w:t>L</w:t>
            </w:r>
            <w:r w:rsidRPr="00181360">
              <w:t xml:space="preserve">ow </w:t>
            </w:r>
            <w:r w:rsidR="00010A0E">
              <w:t>M</w:t>
            </w:r>
            <w:r w:rsidRPr="00181360">
              <w:t>ortality D</w:t>
            </w:r>
            <w:r w:rsidR="00B53565">
              <w:t>iagnosis-</w:t>
            </w:r>
            <w:r w:rsidRPr="00181360">
              <w:t>R</w:t>
            </w:r>
            <w:r w:rsidR="00B53565">
              <w:t xml:space="preserve">elated </w:t>
            </w:r>
            <w:r w:rsidRPr="00181360">
              <w:t>G</w:t>
            </w:r>
            <w:r w:rsidR="00B53565">
              <w:t>roup</w:t>
            </w:r>
            <w:r w:rsidRPr="00181360">
              <w:t>s</w:t>
            </w:r>
          </w:p>
        </w:tc>
        <w:tc>
          <w:tcPr>
            <w:tcW w:w="10170" w:type="dxa"/>
            <w:tcBorders>
              <w:top w:val="single" w:sz="4" w:space="0" w:color="auto"/>
              <w:left w:val="single" w:sz="4" w:space="0" w:color="auto"/>
              <w:bottom w:val="single" w:sz="4" w:space="0" w:color="auto"/>
              <w:right w:val="single" w:sz="4" w:space="0" w:color="auto"/>
            </w:tcBorders>
            <w:noWrap/>
          </w:tcPr>
          <w:p w14:paraId="30A9FDD7" w14:textId="77777777" w:rsidR="005000B6" w:rsidRPr="00181360" w:rsidRDefault="005000B6" w:rsidP="000A0EA4">
            <w:pPr>
              <w:pStyle w:val="TableText"/>
            </w:pPr>
          </w:p>
        </w:tc>
      </w:tr>
      <w:tr w:rsidR="005000B6" w:rsidRPr="00336CF1" w14:paraId="30A9FDDC" w14:textId="77777777" w:rsidTr="000A0EA4">
        <w:trPr>
          <w:trHeight w:val="20"/>
          <w:jc w:val="center"/>
        </w:trPr>
        <w:tc>
          <w:tcPr>
            <w:tcW w:w="630" w:type="dxa"/>
            <w:tcBorders>
              <w:top w:val="single" w:sz="4" w:space="0" w:color="auto"/>
              <w:left w:val="single" w:sz="4" w:space="0" w:color="auto"/>
              <w:bottom w:val="single" w:sz="4" w:space="0" w:color="auto"/>
            </w:tcBorders>
          </w:tcPr>
          <w:p w14:paraId="30A9FDD9" w14:textId="77777777" w:rsidR="005000B6" w:rsidRPr="00181360" w:rsidRDefault="005000B6" w:rsidP="000A0EA4">
            <w:pPr>
              <w:pStyle w:val="TableText"/>
              <w:rPr>
                <w:sz w:val="24"/>
              </w:rPr>
            </w:pPr>
            <w:r w:rsidRPr="00181360">
              <w:t>3</w:t>
            </w:r>
          </w:p>
        </w:tc>
        <w:tc>
          <w:tcPr>
            <w:tcW w:w="3060" w:type="dxa"/>
            <w:tcBorders>
              <w:top w:val="single" w:sz="4" w:space="0" w:color="auto"/>
              <w:bottom w:val="single" w:sz="4" w:space="0" w:color="auto"/>
              <w:right w:val="single" w:sz="4" w:space="0" w:color="auto"/>
            </w:tcBorders>
          </w:tcPr>
          <w:p w14:paraId="30A9FDDA" w14:textId="77777777" w:rsidR="005000B6" w:rsidRPr="00181360" w:rsidRDefault="005000B6" w:rsidP="000A0EA4">
            <w:pPr>
              <w:pStyle w:val="TableText"/>
            </w:pPr>
            <w:r w:rsidRPr="00181360">
              <w:t xml:space="preserve">Pressure </w:t>
            </w:r>
            <w:r w:rsidR="00010A0E">
              <w:t>U</w:t>
            </w:r>
            <w:r w:rsidRPr="00181360">
              <w:t>lcer</w:t>
            </w:r>
          </w:p>
        </w:tc>
        <w:tc>
          <w:tcPr>
            <w:tcW w:w="10170" w:type="dxa"/>
            <w:tcBorders>
              <w:top w:val="single" w:sz="4" w:space="0" w:color="auto"/>
              <w:left w:val="single" w:sz="4" w:space="0" w:color="auto"/>
              <w:bottom w:val="single" w:sz="4" w:space="0" w:color="auto"/>
              <w:right w:val="single" w:sz="4" w:space="0" w:color="auto"/>
            </w:tcBorders>
            <w:noWrap/>
          </w:tcPr>
          <w:p w14:paraId="30A9FDDB" w14:textId="77777777" w:rsidR="005000B6" w:rsidRPr="00181360" w:rsidRDefault="005000B6" w:rsidP="000A0EA4">
            <w:pPr>
              <w:pStyle w:val="TableText"/>
            </w:pPr>
            <w:r>
              <w:t xml:space="preserve">Lack of </w:t>
            </w:r>
            <w:r w:rsidR="00B53565">
              <w:t>p</w:t>
            </w:r>
            <w:r>
              <w:t>resent-on-</w:t>
            </w:r>
            <w:r w:rsidR="00B53565">
              <w:t>a</w:t>
            </w:r>
            <w:r>
              <w:t>dmission documentation, lack of physician note.</w:t>
            </w:r>
          </w:p>
        </w:tc>
      </w:tr>
      <w:tr w:rsidR="005000B6" w:rsidRPr="00336CF1" w14:paraId="30A9FDE0" w14:textId="77777777" w:rsidTr="000A0EA4">
        <w:trPr>
          <w:trHeight w:val="20"/>
          <w:jc w:val="center"/>
        </w:trPr>
        <w:tc>
          <w:tcPr>
            <w:tcW w:w="630" w:type="dxa"/>
            <w:tcBorders>
              <w:top w:val="single" w:sz="4" w:space="0" w:color="auto"/>
              <w:left w:val="single" w:sz="4" w:space="0" w:color="auto"/>
              <w:bottom w:val="single" w:sz="4" w:space="0" w:color="auto"/>
            </w:tcBorders>
          </w:tcPr>
          <w:p w14:paraId="30A9FDDD" w14:textId="77777777" w:rsidR="005000B6" w:rsidRPr="00181360" w:rsidRDefault="005000B6" w:rsidP="000A0EA4">
            <w:pPr>
              <w:pStyle w:val="TableText"/>
              <w:rPr>
                <w:sz w:val="24"/>
              </w:rPr>
            </w:pPr>
            <w:r w:rsidRPr="00181360">
              <w:t>6</w:t>
            </w:r>
          </w:p>
        </w:tc>
        <w:tc>
          <w:tcPr>
            <w:tcW w:w="3060" w:type="dxa"/>
            <w:tcBorders>
              <w:top w:val="single" w:sz="4" w:space="0" w:color="auto"/>
              <w:bottom w:val="single" w:sz="4" w:space="0" w:color="auto"/>
              <w:right w:val="single" w:sz="4" w:space="0" w:color="auto"/>
            </w:tcBorders>
          </w:tcPr>
          <w:p w14:paraId="30A9FDDE" w14:textId="77777777" w:rsidR="005000B6" w:rsidRPr="00181360" w:rsidRDefault="005000B6" w:rsidP="000A0EA4">
            <w:pPr>
              <w:pStyle w:val="TableText"/>
            </w:pPr>
            <w:r w:rsidRPr="00181360">
              <w:t>Iatrogenic Pneumothorax</w:t>
            </w:r>
          </w:p>
        </w:tc>
        <w:tc>
          <w:tcPr>
            <w:tcW w:w="10170" w:type="dxa"/>
            <w:tcBorders>
              <w:top w:val="single" w:sz="4" w:space="0" w:color="auto"/>
              <w:left w:val="single" w:sz="4" w:space="0" w:color="auto"/>
              <w:bottom w:val="single" w:sz="4" w:space="0" w:color="auto"/>
              <w:right w:val="single" w:sz="4" w:space="0" w:color="auto"/>
            </w:tcBorders>
            <w:noWrap/>
          </w:tcPr>
          <w:p w14:paraId="30A9FDDF" w14:textId="77777777" w:rsidR="005000B6" w:rsidRPr="00181360" w:rsidRDefault="00F36F64" w:rsidP="000A0EA4">
            <w:pPr>
              <w:pStyle w:val="TableText"/>
            </w:pPr>
            <w:r>
              <w:t>I</w:t>
            </w:r>
            <w:r w:rsidR="005000B6" w:rsidRPr="00181360">
              <w:t>ntentional</w:t>
            </w:r>
            <w:r>
              <w:t>ly</w:t>
            </w:r>
            <w:r w:rsidR="00B53565">
              <w:t xml:space="preserve"> </w:t>
            </w:r>
            <w:r>
              <w:t xml:space="preserve">induced pneumothorax should </w:t>
            </w:r>
            <w:r w:rsidR="005000B6" w:rsidRPr="00181360">
              <w:t xml:space="preserve">not be coded </w:t>
            </w:r>
            <w:r>
              <w:t>to a complication</w:t>
            </w:r>
            <w:r w:rsidR="005000B6" w:rsidRPr="00181360">
              <w:t>.</w:t>
            </w:r>
          </w:p>
        </w:tc>
      </w:tr>
      <w:tr w:rsidR="005000B6" w:rsidRPr="00336CF1" w14:paraId="30A9FDE9" w14:textId="77777777" w:rsidTr="000A0EA4">
        <w:trPr>
          <w:trHeight w:val="20"/>
          <w:jc w:val="center"/>
        </w:trPr>
        <w:tc>
          <w:tcPr>
            <w:tcW w:w="630" w:type="dxa"/>
            <w:tcBorders>
              <w:top w:val="single" w:sz="4" w:space="0" w:color="auto"/>
              <w:left w:val="single" w:sz="4" w:space="0" w:color="auto"/>
              <w:bottom w:val="single" w:sz="4" w:space="0" w:color="auto"/>
            </w:tcBorders>
          </w:tcPr>
          <w:p w14:paraId="30A9FDE1" w14:textId="77777777" w:rsidR="005000B6" w:rsidRPr="00181360" w:rsidRDefault="005000B6" w:rsidP="000A0EA4">
            <w:pPr>
              <w:pStyle w:val="TableText"/>
              <w:rPr>
                <w:sz w:val="24"/>
              </w:rPr>
            </w:pPr>
            <w:r w:rsidRPr="00181360">
              <w:t>7</w:t>
            </w:r>
          </w:p>
        </w:tc>
        <w:tc>
          <w:tcPr>
            <w:tcW w:w="3060" w:type="dxa"/>
            <w:tcBorders>
              <w:top w:val="single" w:sz="4" w:space="0" w:color="auto"/>
              <w:bottom w:val="single" w:sz="4" w:space="0" w:color="auto"/>
              <w:right w:val="single" w:sz="4" w:space="0" w:color="auto"/>
            </w:tcBorders>
          </w:tcPr>
          <w:p w14:paraId="30A9FDE2" w14:textId="77777777" w:rsidR="005000B6" w:rsidRPr="00A216F3" w:rsidRDefault="005000B6" w:rsidP="000A0EA4">
            <w:pPr>
              <w:pStyle w:val="TableText"/>
            </w:pPr>
            <w:r w:rsidRPr="00A216F3">
              <w:t>Central Venous Catheter-Related Blood</w:t>
            </w:r>
            <w:r w:rsidR="00B53565">
              <w:t>s</w:t>
            </w:r>
            <w:r w:rsidRPr="00A216F3">
              <w:t>tream Infections</w:t>
            </w:r>
            <w:r>
              <w:t xml:space="preserve"> (CV-CRBI</w:t>
            </w:r>
            <w:r w:rsidR="00FF6D8B">
              <w:t>s</w:t>
            </w:r>
            <w:r>
              <w:t>)</w:t>
            </w:r>
          </w:p>
        </w:tc>
        <w:tc>
          <w:tcPr>
            <w:tcW w:w="10170" w:type="dxa"/>
            <w:tcBorders>
              <w:top w:val="single" w:sz="4" w:space="0" w:color="auto"/>
              <w:left w:val="single" w:sz="4" w:space="0" w:color="auto"/>
              <w:bottom w:val="single" w:sz="4" w:space="0" w:color="auto"/>
              <w:right w:val="single" w:sz="4" w:space="0" w:color="auto"/>
            </w:tcBorders>
            <w:noWrap/>
          </w:tcPr>
          <w:p w14:paraId="30A9FDE3" w14:textId="77777777" w:rsidR="005000B6" w:rsidRPr="00010A0E" w:rsidRDefault="005000B6" w:rsidP="000A0EA4">
            <w:pPr>
              <w:pStyle w:val="TableText"/>
            </w:pPr>
            <w:r w:rsidRPr="00010A0E">
              <w:t xml:space="preserve">The narrative of </w:t>
            </w:r>
            <w:r w:rsidR="00010A0E" w:rsidRPr="00010A0E">
              <w:t>the</w:t>
            </w:r>
            <w:r w:rsidRPr="00010A0E">
              <w:t xml:space="preserve"> code </w:t>
            </w:r>
            <w:r w:rsidR="00010A0E" w:rsidRPr="00010A0E">
              <w:t xml:space="preserve">for </w:t>
            </w:r>
            <w:r w:rsidR="00B53565">
              <w:t>CV-CRBI</w:t>
            </w:r>
            <w:r w:rsidR="00010A0E" w:rsidRPr="00010A0E">
              <w:t xml:space="preserve"> </w:t>
            </w:r>
            <w:r w:rsidRPr="00010A0E">
              <w:t xml:space="preserve">is </w:t>
            </w:r>
            <w:r w:rsidR="00B53565">
              <w:t>“i</w:t>
            </w:r>
            <w:r w:rsidRPr="00010A0E">
              <w:t>nfection due to central venous catheter</w:t>
            </w:r>
            <w:r w:rsidR="00B53565">
              <w:t>”</w:t>
            </w:r>
            <w:r w:rsidRPr="00010A0E">
              <w:t xml:space="preserve">, which means that this code </w:t>
            </w:r>
            <w:r w:rsidR="00010A0E">
              <w:t>should</w:t>
            </w:r>
            <w:r w:rsidRPr="00010A0E">
              <w:t xml:space="preserve"> be assigned when the catheter is the source of the infection, not when it becomes infected from another source</w:t>
            </w:r>
            <w:r w:rsidR="00010A0E">
              <w:t xml:space="preserve"> </w:t>
            </w:r>
            <w:r w:rsidR="00B53565">
              <w:t>(e.g.,</w:t>
            </w:r>
            <w:r w:rsidR="00010A0E">
              <w:t xml:space="preserve"> bacteremia, </w:t>
            </w:r>
            <w:r w:rsidR="00010A0E" w:rsidRPr="00436FE9">
              <w:t>seps</w:t>
            </w:r>
            <w:r w:rsidR="00010A0E">
              <w:t>is from the urinary tract</w:t>
            </w:r>
            <w:r w:rsidR="00B53565">
              <w:t>)</w:t>
            </w:r>
            <w:r w:rsidRPr="00010A0E">
              <w:t>.</w:t>
            </w:r>
          </w:p>
          <w:p w14:paraId="30A9FDE4" w14:textId="77777777" w:rsidR="005000B6" w:rsidRDefault="005000B6" w:rsidP="000A0EA4">
            <w:pPr>
              <w:pStyle w:val="TableText"/>
              <w:numPr>
                <w:ilvl w:val="0"/>
                <w:numId w:val="24"/>
              </w:numPr>
            </w:pPr>
            <w:r>
              <w:t>C</w:t>
            </w:r>
            <w:r w:rsidRPr="00436FE9">
              <w:t xml:space="preserve">ommon coding practice </w:t>
            </w:r>
            <w:r>
              <w:t>had been</w:t>
            </w:r>
            <w:r w:rsidRPr="00436FE9">
              <w:t xml:space="preserve"> to apply this code when documentation just stated </w:t>
            </w:r>
            <w:r w:rsidR="00B53565">
              <w:t>“</w:t>
            </w:r>
            <w:r w:rsidRPr="00436FE9">
              <w:t>infected catheter.</w:t>
            </w:r>
            <w:r w:rsidR="00B53565">
              <w:t>”</w:t>
            </w:r>
            <w:r w:rsidRPr="00436FE9">
              <w:t xml:space="preserve"> </w:t>
            </w:r>
          </w:p>
          <w:p w14:paraId="30A9FDE5" w14:textId="2504D223" w:rsidR="00010A0E" w:rsidRDefault="00010A0E" w:rsidP="000A0EA4">
            <w:pPr>
              <w:pStyle w:val="TableText"/>
              <w:numPr>
                <w:ilvl w:val="0"/>
                <w:numId w:val="24"/>
              </w:numPr>
            </w:pPr>
            <w:r>
              <w:t>Query should be generated to ask for the source of the infection.</w:t>
            </w:r>
            <w:r w:rsidR="00612A3E">
              <w:t xml:space="preserve"> </w:t>
            </w:r>
          </w:p>
          <w:p w14:paraId="30A9FDE6" w14:textId="68A591FB" w:rsidR="005000B6" w:rsidRDefault="005000B6" w:rsidP="000A0EA4">
            <w:pPr>
              <w:pStyle w:val="TableText"/>
              <w:numPr>
                <w:ilvl w:val="0"/>
                <w:numId w:val="24"/>
              </w:numPr>
            </w:pPr>
            <w:r>
              <w:t>Work</w:t>
            </w:r>
            <w:r w:rsidRPr="00436FE9">
              <w:t xml:space="preserve"> with physicians to make them aware of </w:t>
            </w:r>
            <w:r>
              <w:t xml:space="preserve">the </w:t>
            </w:r>
            <w:r w:rsidRPr="00436FE9">
              <w:t>documentation requirements.</w:t>
            </w:r>
            <w:r w:rsidR="00612A3E">
              <w:t xml:space="preserve"> </w:t>
            </w:r>
          </w:p>
          <w:p w14:paraId="30A9FDE7" w14:textId="77777777" w:rsidR="005000B6" w:rsidRDefault="005000B6" w:rsidP="000A0EA4">
            <w:pPr>
              <w:pStyle w:val="TableText"/>
              <w:numPr>
                <w:ilvl w:val="0"/>
                <w:numId w:val="24"/>
              </w:numPr>
            </w:pPr>
            <w:r>
              <w:t xml:space="preserve">Work with coders to explain how </w:t>
            </w:r>
            <w:r w:rsidR="00B53565">
              <w:t xml:space="preserve">to use </w:t>
            </w:r>
            <w:r w:rsidRPr="00436FE9">
              <w:t>this code appropriately</w:t>
            </w:r>
            <w:r w:rsidR="00B53565">
              <w:t>.</w:t>
            </w:r>
          </w:p>
          <w:p w14:paraId="30A9FDE8" w14:textId="77777777" w:rsidR="005000B6" w:rsidRPr="00181360" w:rsidRDefault="00010A0E" w:rsidP="000A0EA4">
            <w:pPr>
              <w:pStyle w:val="TableText"/>
              <w:numPr>
                <w:ilvl w:val="0"/>
                <w:numId w:val="24"/>
              </w:numPr>
            </w:pPr>
            <w:r>
              <w:t>D</w:t>
            </w:r>
            <w:r w:rsidR="005000B6" w:rsidRPr="00436FE9">
              <w:t xml:space="preserve">ocumentation from infection control staff </w:t>
            </w:r>
            <w:r>
              <w:t xml:space="preserve">involved in the patient’s care </w:t>
            </w:r>
            <w:r w:rsidR="005000B6" w:rsidRPr="00436FE9">
              <w:t>can be accepted for coding purposes</w:t>
            </w:r>
            <w:r w:rsidRPr="00DD5358">
              <w:rPr>
                <w:color w:val="FF0000"/>
              </w:rPr>
              <w:t xml:space="preserve"> </w:t>
            </w:r>
            <w:r w:rsidRPr="00010A0E">
              <w:t xml:space="preserve">if they are legally accountable </w:t>
            </w:r>
            <w:r w:rsidR="00B53565">
              <w:t>in</w:t>
            </w:r>
            <w:r w:rsidRPr="00010A0E">
              <w:t xml:space="preserve"> establishing a </w:t>
            </w:r>
            <w:r w:rsidR="00B53565">
              <w:t>diagnosis</w:t>
            </w:r>
            <w:r w:rsidRPr="00010A0E">
              <w:t xml:space="preserve"> and do not contradict the attending.</w:t>
            </w:r>
            <w:r w:rsidR="005000B6" w:rsidRPr="00436FE9">
              <w:t xml:space="preserve"> </w:t>
            </w:r>
          </w:p>
        </w:tc>
      </w:tr>
      <w:tr w:rsidR="005000B6" w:rsidRPr="00336CF1" w14:paraId="30A9FDF0" w14:textId="77777777" w:rsidTr="000A0EA4">
        <w:trPr>
          <w:trHeight w:val="20"/>
          <w:jc w:val="center"/>
        </w:trPr>
        <w:tc>
          <w:tcPr>
            <w:tcW w:w="630" w:type="dxa"/>
            <w:tcBorders>
              <w:top w:val="single" w:sz="4" w:space="0" w:color="auto"/>
              <w:left w:val="single" w:sz="4" w:space="0" w:color="auto"/>
              <w:bottom w:val="single" w:sz="4" w:space="0" w:color="auto"/>
            </w:tcBorders>
          </w:tcPr>
          <w:p w14:paraId="30A9FDEA" w14:textId="77777777" w:rsidR="005000B6" w:rsidRPr="00181360" w:rsidRDefault="005000B6" w:rsidP="000A0EA4">
            <w:pPr>
              <w:pStyle w:val="TableText"/>
              <w:rPr>
                <w:sz w:val="24"/>
              </w:rPr>
            </w:pPr>
            <w:r w:rsidRPr="00181360">
              <w:t>15</w:t>
            </w:r>
          </w:p>
        </w:tc>
        <w:tc>
          <w:tcPr>
            <w:tcW w:w="3060" w:type="dxa"/>
            <w:tcBorders>
              <w:top w:val="single" w:sz="4" w:space="0" w:color="auto"/>
              <w:bottom w:val="single" w:sz="4" w:space="0" w:color="auto"/>
              <w:right w:val="single" w:sz="4" w:space="0" w:color="auto"/>
            </w:tcBorders>
          </w:tcPr>
          <w:p w14:paraId="30A9FDEB" w14:textId="77777777" w:rsidR="005000B6" w:rsidRPr="00181360" w:rsidRDefault="005000B6" w:rsidP="000A0EA4">
            <w:pPr>
              <w:pStyle w:val="TableText"/>
            </w:pPr>
            <w:r w:rsidRPr="00181360">
              <w:t>Accidental Puncture and Laceration</w:t>
            </w:r>
          </w:p>
        </w:tc>
        <w:tc>
          <w:tcPr>
            <w:tcW w:w="10170" w:type="dxa"/>
            <w:tcBorders>
              <w:top w:val="single" w:sz="4" w:space="0" w:color="auto"/>
              <w:left w:val="single" w:sz="4" w:space="0" w:color="auto"/>
              <w:bottom w:val="single" w:sz="4" w:space="0" w:color="auto"/>
              <w:right w:val="single" w:sz="4" w:space="0" w:color="auto"/>
            </w:tcBorders>
            <w:noWrap/>
          </w:tcPr>
          <w:p w14:paraId="30A9FDEC" w14:textId="0F9A2609" w:rsidR="005000B6" w:rsidRDefault="007A6A9E" w:rsidP="000A0EA4">
            <w:pPr>
              <w:pStyle w:val="TableText"/>
            </w:pPr>
            <w:r>
              <w:t>When coding</w:t>
            </w:r>
            <w:r w:rsidR="005000B6">
              <w:t xml:space="preserve"> </w:t>
            </w:r>
            <w:r w:rsidR="008C31DB">
              <w:t xml:space="preserve">for </w:t>
            </w:r>
            <w:r w:rsidR="005000B6">
              <w:t>punctures or lacerations</w:t>
            </w:r>
            <w:r>
              <w:t>,</w:t>
            </w:r>
            <w:r w:rsidR="005000B6">
              <w:t xml:space="preserve"> </w:t>
            </w:r>
            <w:r>
              <w:t xml:space="preserve">it is important to distinguish between those </w:t>
            </w:r>
            <w:r w:rsidR="005000B6">
              <w:t xml:space="preserve">that are </w:t>
            </w:r>
            <w:r>
              <w:t>an incidental occurrence</w:t>
            </w:r>
            <w:r w:rsidR="00590332">
              <w:t xml:space="preserve"> inherent to the procedure itself </w:t>
            </w:r>
            <w:r>
              <w:t>and</w:t>
            </w:r>
            <w:r w:rsidR="00010A0E">
              <w:t xml:space="preserve"> those that are a complication</w:t>
            </w:r>
            <w:r w:rsidR="005000B6">
              <w:t>.</w:t>
            </w:r>
            <w:r w:rsidR="00612A3E">
              <w:t xml:space="preserve"> </w:t>
            </w:r>
          </w:p>
          <w:p w14:paraId="30A9FDED" w14:textId="77777777" w:rsidR="005000B6" w:rsidRDefault="005000B6" w:rsidP="000A0EA4">
            <w:pPr>
              <w:pStyle w:val="TableText"/>
            </w:pPr>
            <w:r>
              <w:t xml:space="preserve">Query the physician: </w:t>
            </w:r>
          </w:p>
          <w:p w14:paraId="30A9FDEE" w14:textId="77777777" w:rsidR="005000B6" w:rsidRDefault="005000B6" w:rsidP="000A0EA4">
            <w:pPr>
              <w:pStyle w:val="TableText"/>
              <w:numPr>
                <w:ilvl w:val="0"/>
                <w:numId w:val="25"/>
              </w:numPr>
            </w:pPr>
            <w:r w:rsidRPr="00283988">
              <w:t>If the physician’s postop</w:t>
            </w:r>
            <w:r w:rsidR="00B53565">
              <w:t>erative</w:t>
            </w:r>
            <w:r w:rsidRPr="00283988">
              <w:t xml:space="preserve">/procedure note and operative/procedure report do NOT clearly describe </w:t>
            </w:r>
            <w:r>
              <w:t xml:space="preserve">the circumstances of the </w:t>
            </w:r>
            <w:r w:rsidR="008C31DB">
              <w:t>puncture or laceration</w:t>
            </w:r>
            <w:r w:rsidRPr="00283988">
              <w:t xml:space="preserve">. </w:t>
            </w:r>
          </w:p>
          <w:p w14:paraId="30A9FDEF" w14:textId="77777777" w:rsidR="005000B6" w:rsidRPr="00181360" w:rsidRDefault="005000B6" w:rsidP="000A0EA4">
            <w:pPr>
              <w:pStyle w:val="TableText"/>
              <w:numPr>
                <w:ilvl w:val="0"/>
                <w:numId w:val="25"/>
              </w:numPr>
            </w:pPr>
            <w:r w:rsidRPr="00373CC5">
              <w:t>If the postop</w:t>
            </w:r>
            <w:r w:rsidR="00B53565">
              <w:t>erative</w:t>
            </w:r>
            <w:r w:rsidRPr="00373CC5">
              <w:t>/procedure note documentation conflicts with the operative/procedure report</w:t>
            </w:r>
            <w:r w:rsidR="00B53565">
              <w:t>.</w:t>
            </w:r>
          </w:p>
        </w:tc>
      </w:tr>
      <w:tr w:rsidR="005000B6" w:rsidRPr="00336CF1" w14:paraId="30A9FDF4" w14:textId="77777777" w:rsidTr="000A0EA4">
        <w:trPr>
          <w:trHeight w:val="20"/>
          <w:jc w:val="center"/>
        </w:trPr>
        <w:tc>
          <w:tcPr>
            <w:tcW w:w="630" w:type="dxa"/>
            <w:tcBorders>
              <w:top w:val="single" w:sz="4" w:space="0" w:color="auto"/>
              <w:left w:val="single" w:sz="4" w:space="0" w:color="auto"/>
              <w:bottom w:val="single" w:sz="4" w:space="0" w:color="auto"/>
            </w:tcBorders>
          </w:tcPr>
          <w:p w14:paraId="30A9FDF1" w14:textId="77777777" w:rsidR="005000B6" w:rsidRPr="00181360" w:rsidRDefault="005000B6" w:rsidP="000A0EA4">
            <w:pPr>
              <w:pStyle w:val="TableText"/>
              <w:rPr>
                <w:sz w:val="24"/>
              </w:rPr>
            </w:pPr>
            <w:r w:rsidRPr="00181360">
              <w:t>16</w:t>
            </w:r>
          </w:p>
        </w:tc>
        <w:tc>
          <w:tcPr>
            <w:tcW w:w="3060" w:type="dxa"/>
            <w:tcBorders>
              <w:top w:val="single" w:sz="4" w:space="0" w:color="auto"/>
              <w:bottom w:val="single" w:sz="4" w:space="0" w:color="auto"/>
              <w:right w:val="single" w:sz="4" w:space="0" w:color="auto"/>
            </w:tcBorders>
          </w:tcPr>
          <w:p w14:paraId="30A9FDF2" w14:textId="77777777" w:rsidR="005000B6" w:rsidRPr="00181360" w:rsidRDefault="005000B6" w:rsidP="000A0EA4">
            <w:pPr>
              <w:pStyle w:val="TableText"/>
            </w:pPr>
            <w:r w:rsidRPr="00181360">
              <w:t>Transfusion Reaction</w:t>
            </w:r>
          </w:p>
        </w:tc>
        <w:tc>
          <w:tcPr>
            <w:tcW w:w="10170" w:type="dxa"/>
            <w:tcBorders>
              <w:top w:val="single" w:sz="4" w:space="0" w:color="auto"/>
              <w:left w:val="single" w:sz="4" w:space="0" w:color="auto"/>
              <w:bottom w:val="single" w:sz="4" w:space="0" w:color="auto"/>
              <w:right w:val="single" w:sz="4" w:space="0" w:color="auto"/>
            </w:tcBorders>
            <w:noWrap/>
          </w:tcPr>
          <w:p w14:paraId="30A9FDF3" w14:textId="77777777" w:rsidR="005000B6" w:rsidRPr="00181360" w:rsidRDefault="005000B6" w:rsidP="000A0EA4">
            <w:pPr>
              <w:pStyle w:val="TableText"/>
            </w:pPr>
          </w:p>
        </w:tc>
      </w:tr>
      <w:tr w:rsidR="005000B6" w:rsidRPr="00336CF1" w14:paraId="30A9FDF7" w14:textId="77777777" w:rsidTr="000A0EA4">
        <w:trPr>
          <w:trHeight w:val="20"/>
          <w:jc w:val="center"/>
        </w:trPr>
        <w:tc>
          <w:tcPr>
            <w:tcW w:w="3690" w:type="dxa"/>
            <w:gridSpan w:val="2"/>
            <w:tcBorders>
              <w:top w:val="single" w:sz="4" w:space="0" w:color="auto"/>
              <w:left w:val="single" w:sz="4" w:space="0" w:color="auto"/>
              <w:bottom w:val="single" w:sz="4" w:space="0" w:color="auto"/>
              <w:right w:val="single" w:sz="4" w:space="0" w:color="auto"/>
            </w:tcBorders>
          </w:tcPr>
          <w:p w14:paraId="30A9FDF5" w14:textId="77777777" w:rsidR="005000B6" w:rsidRPr="00972BE8" w:rsidRDefault="005000B6" w:rsidP="000A0EA4">
            <w:pPr>
              <w:pStyle w:val="TableText"/>
              <w:rPr>
                <w:b/>
                <w:bCs/>
                <w:sz w:val="24"/>
              </w:rPr>
            </w:pPr>
            <w:r w:rsidRPr="00972BE8">
              <w:rPr>
                <w:b/>
                <w:bCs/>
              </w:rPr>
              <w:t>Obstetric PSIs</w:t>
            </w:r>
          </w:p>
        </w:tc>
        <w:tc>
          <w:tcPr>
            <w:tcW w:w="10170" w:type="dxa"/>
            <w:tcBorders>
              <w:top w:val="single" w:sz="4" w:space="0" w:color="auto"/>
              <w:left w:val="single" w:sz="4" w:space="0" w:color="auto"/>
              <w:bottom w:val="single" w:sz="4" w:space="0" w:color="auto"/>
              <w:right w:val="single" w:sz="4" w:space="0" w:color="auto"/>
            </w:tcBorders>
            <w:noWrap/>
          </w:tcPr>
          <w:p w14:paraId="30A9FDF6" w14:textId="77777777" w:rsidR="005000B6" w:rsidRPr="00181360" w:rsidRDefault="005000B6" w:rsidP="000A0EA4">
            <w:pPr>
              <w:pStyle w:val="TableText"/>
            </w:pPr>
          </w:p>
        </w:tc>
      </w:tr>
      <w:tr w:rsidR="005000B6" w:rsidRPr="00336CF1" w14:paraId="30A9FDFC" w14:textId="77777777" w:rsidTr="000A0EA4">
        <w:trPr>
          <w:trHeight w:val="20"/>
          <w:jc w:val="center"/>
        </w:trPr>
        <w:tc>
          <w:tcPr>
            <w:tcW w:w="630" w:type="dxa"/>
            <w:tcBorders>
              <w:top w:val="single" w:sz="4" w:space="0" w:color="auto"/>
              <w:left w:val="single" w:sz="4" w:space="0" w:color="auto"/>
              <w:bottom w:val="single" w:sz="4" w:space="0" w:color="auto"/>
            </w:tcBorders>
          </w:tcPr>
          <w:p w14:paraId="30A9FDF8" w14:textId="77777777" w:rsidR="005000B6" w:rsidRPr="00181360" w:rsidRDefault="005000B6" w:rsidP="000A0EA4">
            <w:pPr>
              <w:pStyle w:val="TableText"/>
              <w:rPr>
                <w:sz w:val="24"/>
              </w:rPr>
            </w:pPr>
            <w:r w:rsidRPr="00181360">
              <w:t>18</w:t>
            </w:r>
            <w:r>
              <w:t xml:space="preserve"> 19</w:t>
            </w:r>
          </w:p>
        </w:tc>
        <w:tc>
          <w:tcPr>
            <w:tcW w:w="3060" w:type="dxa"/>
            <w:tcBorders>
              <w:top w:val="single" w:sz="4" w:space="0" w:color="auto"/>
              <w:bottom w:val="single" w:sz="4" w:space="0" w:color="auto"/>
              <w:right w:val="single" w:sz="4" w:space="0" w:color="auto"/>
            </w:tcBorders>
          </w:tcPr>
          <w:p w14:paraId="30A9FDF9" w14:textId="77777777" w:rsidR="005000B6" w:rsidRPr="00336CF1" w:rsidRDefault="005000B6" w:rsidP="000A0EA4">
            <w:pPr>
              <w:pStyle w:val="TableText"/>
            </w:pPr>
            <w:r w:rsidRPr="00336CF1">
              <w:t xml:space="preserve">OB </w:t>
            </w:r>
            <w:r w:rsidR="00010A0E">
              <w:t>T</w:t>
            </w:r>
            <w:r w:rsidRPr="00336CF1">
              <w:t xml:space="preserve">rauma - </w:t>
            </w:r>
            <w:r w:rsidR="00B53565">
              <w:t>With</w:t>
            </w:r>
            <w:r w:rsidRPr="00336CF1">
              <w:t xml:space="preserve"> </w:t>
            </w:r>
            <w:r w:rsidR="00B53565">
              <w:t>I</w:t>
            </w:r>
            <w:r w:rsidRPr="00336CF1">
              <w:t>nstrument</w:t>
            </w:r>
          </w:p>
          <w:p w14:paraId="30A9FDFA" w14:textId="77777777" w:rsidR="005000B6" w:rsidRPr="00181360" w:rsidRDefault="005000B6" w:rsidP="000A0EA4">
            <w:pPr>
              <w:pStyle w:val="TableText"/>
            </w:pPr>
            <w:r w:rsidRPr="00336CF1">
              <w:t xml:space="preserve">OB </w:t>
            </w:r>
            <w:r w:rsidR="00010A0E">
              <w:t>T</w:t>
            </w:r>
            <w:r w:rsidRPr="00336CF1">
              <w:t xml:space="preserve">rauma - </w:t>
            </w:r>
            <w:r w:rsidR="00B53565">
              <w:t>Without</w:t>
            </w:r>
            <w:r w:rsidRPr="00336CF1">
              <w:t xml:space="preserve"> </w:t>
            </w:r>
            <w:r w:rsidR="00B53565">
              <w:t>I</w:t>
            </w:r>
            <w:r w:rsidRPr="00336CF1">
              <w:t>nstrument</w:t>
            </w:r>
          </w:p>
        </w:tc>
        <w:tc>
          <w:tcPr>
            <w:tcW w:w="10170" w:type="dxa"/>
            <w:tcBorders>
              <w:top w:val="single" w:sz="4" w:space="0" w:color="auto"/>
              <w:left w:val="single" w:sz="4" w:space="0" w:color="auto"/>
              <w:bottom w:val="single" w:sz="4" w:space="0" w:color="auto"/>
              <w:right w:val="single" w:sz="4" w:space="0" w:color="auto"/>
            </w:tcBorders>
            <w:noWrap/>
          </w:tcPr>
          <w:p w14:paraId="30A9FDFB" w14:textId="77777777" w:rsidR="005000B6" w:rsidRPr="00181360" w:rsidRDefault="007D2ED0" w:rsidP="000A0EA4">
            <w:pPr>
              <w:pStyle w:val="TableText"/>
            </w:pPr>
            <w:r>
              <w:t>Document clearly t</w:t>
            </w:r>
            <w:r w:rsidR="0010646B">
              <w:t>he occurrence and severity of l</w:t>
            </w:r>
            <w:r w:rsidR="003B4ECD">
              <w:t>acerations during delivery.</w:t>
            </w:r>
          </w:p>
        </w:tc>
      </w:tr>
    </w:tbl>
    <w:p w14:paraId="30A9FDFD" w14:textId="77777777" w:rsidR="005000B6" w:rsidRDefault="005000B6">
      <w:pPr>
        <w:spacing w:after="200" w:line="276" w:lineRule="auto"/>
        <w:rPr>
          <w:b/>
          <w:bCs/>
          <w:color w:val="000000"/>
        </w:rPr>
      </w:pPr>
    </w:p>
    <w:p w14:paraId="30A9FDFE" w14:textId="77777777" w:rsidR="005000B6" w:rsidRDefault="005000B6">
      <w:pPr>
        <w:spacing w:after="200" w:line="276" w:lineRule="auto"/>
        <w:rPr>
          <w:b/>
          <w:bCs/>
          <w:color w:val="000000"/>
        </w:rPr>
      </w:pPr>
      <w:r>
        <w:rPr>
          <w:b/>
          <w:bCs/>
          <w:color w:val="000000"/>
        </w:rPr>
        <w:br w:type="page"/>
      </w:r>
    </w:p>
    <w:p w14:paraId="30A9FDFF" w14:textId="77777777" w:rsidR="005000B6" w:rsidRPr="008523EE" w:rsidRDefault="005000B6" w:rsidP="000A0EA4">
      <w:pPr>
        <w:pStyle w:val="TableTitle"/>
      </w:pPr>
      <w:proofErr w:type="gramStart"/>
      <w:r w:rsidRPr="008523EE">
        <w:lastRenderedPageBreak/>
        <w:t>Table 2.</w:t>
      </w:r>
      <w:proofErr w:type="gramEnd"/>
      <w:r w:rsidRPr="008523EE">
        <w:t xml:space="preserve"> Coding Issues Pertaining to Each Patient Safety Indicator</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0A0" w:firstRow="1" w:lastRow="0" w:firstColumn="1" w:lastColumn="0" w:noHBand="0" w:noVBand="0"/>
      </w:tblPr>
      <w:tblGrid>
        <w:gridCol w:w="468"/>
        <w:gridCol w:w="2632"/>
        <w:gridCol w:w="1310"/>
        <w:gridCol w:w="3874"/>
        <w:gridCol w:w="3394"/>
        <w:gridCol w:w="1282"/>
      </w:tblGrid>
      <w:tr w:rsidR="005000B6" w:rsidRPr="00336CF1" w14:paraId="30A9FE05" w14:textId="77777777" w:rsidTr="000A0EA4">
        <w:trPr>
          <w:trHeight w:val="20"/>
          <w:tblHeader/>
          <w:jc w:val="center"/>
        </w:trPr>
        <w:tc>
          <w:tcPr>
            <w:tcW w:w="3420" w:type="dxa"/>
            <w:gridSpan w:val="2"/>
            <w:tcBorders>
              <w:bottom w:val="double" w:sz="4" w:space="0" w:color="auto"/>
            </w:tcBorders>
            <w:noWrap/>
            <w:vAlign w:val="bottom"/>
          </w:tcPr>
          <w:p w14:paraId="30A9FE00" w14:textId="77777777" w:rsidR="005000B6" w:rsidRPr="000A0EA4" w:rsidRDefault="005000B6" w:rsidP="000A0EA4">
            <w:pPr>
              <w:pStyle w:val="TableText"/>
              <w:jc w:val="center"/>
              <w:rPr>
                <w:b/>
              </w:rPr>
            </w:pPr>
            <w:r w:rsidRPr="000A0EA4">
              <w:rPr>
                <w:b/>
              </w:rPr>
              <w:t>PSI Grouped by Type</w:t>
            </w:r>
          </w:p>
        </w:tc>
        <w:tc>
          <w:tcPr>
            <w:tcW w:w="1440" w:type="dxa"/>
            <w:tcBorders>
              <w:bottom w:val="double" w:sz="4" w:space="0" w:color="auto"/>
            </w:tcBorders>
          </w:tcPr>
          <w:p w14:paraId="30A9FE01" w14:textId="77777777" w:rsidR="005000B6" w:rsidRPr="000A0EA4" w:rsidRDefault="005000B6" w:rsidP="000A0EA4">
            <w:pPr>
              <w:pStyle w:val="TableText"/>
              <w:jc w:val="center"/>
              <w:rPr>
                <w:b/>
              </w:rPr>
            </w:pPr>
            <w:r w:rsidRPr="000A0EA4">
              <w:rPr>
                <w:b/>
              </w:rPr>
              <w:t>POA Required</w:t>
            </w:r>
          </w:p>
        </w:tc>
        <w:tc>
          <w:tcPr>
            <w:tcW w:w="4320" w:type="dxa"/>
            <w:tcBorders>
              <w:bottom w:val="double" w:sz="4" w:space="0" w:color="auto"/>
            </w:tcBorders>
            <w:vAlign w:val="bottom"/>
          </w:tcPr>
          <w:p w14:paraId="30A9FE02" w14:textId="77777777" w:rsidR="005000B6" w:rsidRPr="000A0EA4" w:rsidRDefault="005000B6" w:rsidP="000A0EA4">
            <w:pPr>
              <w:pStyle w:val="TableText"/>
              <w:jc w:val="center"/>
              <w:rPr>
                <w:b/>
              </w:rPr>
            </w:pPr>
            <w:r w:rsidRPr="000A0EA4">
              <w:rPr>
                <w:b/>
              </w:rPr>
              <w:t>Miscoding</w:t>
            </w:r>
          </w:p>
        </w:tc>
        <w:tc>
          <w:tcPr>
            <w:tcW w:w="3780" w:type="dxa"/>
            <w:tcBorders>
              <w:bottom w:val="double" w:sz="4" w:space="0" w:color="auto"/>
            </w:tcBorders>
            <w:vAlign w:val="bottom"/>
          </w:tcPr>
          <w:p w14:paraId="30A9FE03" w14:textId="77777777" w:rsidR="005000B6" w:rsidRPr="000A0EA4" w:rsidRDefault="005000B6" w:rsidP="000A0EA4">
            <w:pPr>
              <w:pStyle w:val="TableText"/>
              <w:jc w:val="center"/>
              <w:rPr>
                <w:b/>
              </w:rPr>
            </w:pPr>
            <w:r w:rsidRPr="000A0EA4">
              <w:rPr>
                <w:b/>
              </w:rPr>
              <w:t xml:space="preserve">Lack of </w:t>
            </w:r>
            <w:r w:rsidR="007D7C4D">
              <w:rPr>
                <w:b/>
              </w:rPr>
              <w:t>C</w:t>
            </w:r>
            <w:r w:rsidRPr="000A0EA4">
              <w:rPr>
                <w:b/>
              </w:rPr>
              <w:t xml:space="preserve">oding </w:t>
            </w:r>
            <w:r w:rsidR="007D7C4D">
              <w:rPr>
                <w:b/>
              </w:rPr>
              <w:t>S</w:t>
            </w:r>
            <w:r w:rsidRPr="000A0EA4">
              <w:rPr>
                <w:b/>
              </w:rPr>
              <w:t>pecificity</w:t>
            </w:r>
          </w:p>
        </w:tc>
        <w:tc>
          <w:tcPr>
            <w:tcW w:w="1409" w:type="dxa"/>
            <w:tcBorders>
              <w:bottom w:val="double" w:sz="4" w:space="0" w:color="auto"/>
            </w:tcBorders>
          </w:tcPr>
          <w:p w14:paraId="30A9FE04" w14:textId="77777777" w:rsidR="005000B6" w:rsidRPr="000A0EA4" w:rsidRDefault="005000B6" w:rsidP="000A0EA4">
            <w:pPr>
              <w:pStyle w:val="TableText"/>
              <w:jc w:val="center"/>
              <w:rPr>
                <w:b/>
              </w:rPr>
            </w:pPr>
            <w:r w:rsidRPr="000A0EA4">
              <w:rPr>
                <w:b/>
              </w:rPr>
              <w:t>Non-Elective Admission</w:t>
            </w:r>
          </w:p>
        </w:tc>
      </w:tr>
      <w:tr w:rsidR="005000B6" w:rsidRPr="00336CF1" w14:paraId="30A9FE0B" w14:textId="77777777" w:rsidTr="000A0EA4">
        <w:trPr>
          <w:trHeight w:val="20"/>
          <w:jc w:val="center"/>
        </w:trPr>
        <w:tc>
          <w:tcPr>
            <w:tcW w:w="3420" w:type="dxa"/>
            <w:gridSpan w:val="2"/>
            <w:tcBorders>
              <w:top w:val="double" w:sz="4" w:space="0" w:color="auto"/>
            </w:tcBorders>
            <w:noWrap/>
            <w:vAlign w:val="center"/>
          </w:tcPr>
          <w:p w14:paraId="30A9FE06" w14:textId="77777777" w:rsidR="005000B6" w:rsidRPr="000A0EA4" w:rsidRDefault="005000B6" w:rsidP="000A0EA4">
            <w:pPr>
              <w:pStyle w:val="TableText"/>
              <w:rPr>
                <w:b/>
              </w:rPr>
            </w:pPr>
            <w:r w:rsidRPr="000A0EA4">
              <w:rPr>
                <w:b/>
              </w:rPr>
              <w:t>Surgical PSIs</w:t>
            </w:r>
          </w:p>
        </w:tc>
        <w:tc>
          <w:tcPr>
            <w:tcW w:w="1440" w:type="dxa"/>
            <w:tcBorders>
              <w:top w:val="double" w:sz="4" w:space="0" w:color="auto"/>
            </w:tcBorders>
          </w:tcPr>
          <w:p w14:paraId="30A9FE07" w14:textId="77777777" w:rsidR="005000B6" w:rsidRPr="00336CF1" w:rsidRDefault="005000B6" w:rsidP="000A0EA4">
            <w:pPr>
              <w:pStyle w:val="TableText"/>
              <w:jc w:val="center"/>
            </w:pPr>
          </w:p>
        </w:tc>
        <w:tc>
          <w:tcPr>
            <w:tcW w:w="4320" w:type="dxa"/>
            <w:tcBorders>
              <w:top w:val="double" w:sz="4" w:space="0" w:color="auto"/>
            </w:tcBorders>
            <w:vAlign w:val="center"/>
          </w:tcPr>
          <w:p w14:paraId="30A9FE08" w14:textId="77777777" w:rsidR="005000B6" w:rsidRPr="00336CF1" w:rsidRDefault="005000B6" w:rsidP="000A0EA4">
            <w:pPr>
              <w:pStyle w:val="TableText"/>
            </w:pPr>
          </w:p>
        </w:tc>
        <w:tc>
          <w:tcPr>
            <w:tcW w:w="3780" w:type="dxa"/>
            <w:tcBorders>
              <w:top w:val="double" w:sz="4" w:space="0" w:color="auto"/>
            </w:tcBorders>
            <w:vAlign w:val="center"/>
          </w:tcPr>
          <w:p w14:paraId="30A9FE09" w14:textId="77777777" w:rsidR="005000B6" w:rsidRPr="00336CF1" w:rsidRDefault="005000B6" w:rsidP="000A0EA4">
            <w:pPr>
              <w:pStyle w:val="TableText"/>
            </w:pPr>
          </w:p>
        </w:tc>
        <w:tc>
          <w:tcPr>
            <w:tcW w:w="1409" w:type="dxa"/>
            <w:tcBorders>
              <w:top w:val="double" w:sz="4" w:space="0" w:color="auto"/>
            </w:tcBorders>
          </w:tcPr>
          <w:p w14:paraId="30A9FE0A" w14:textId="77777777" w:rsidR="005000B6" w:rsidRPr="00336CF1" w:rsidRDefault="005000B6" w:rsidP="000A0EA4">
            <w:pPr>
              <w:pStyle w:val="TableText"/>
              <w:jc w:val="center"/>
            </w:pPr>
          </w:p>
        </w:tc>
      </w:tr>
      <w:tr w:rsidR="005000B6" w:rsidRPr="00336CF1" w14:paraId="30A9FE13" w14:textId="77777777" w:rsidTr="000A0EA4">
        <w:trPr>
          <w:trHeight w:val="20"/>
          <w:jc w:val="center"/>
        </w:trPr>
        <w:tc>
          <w:tcPr>
            <w:tcW w:w="495" w:type="dxa"/>
            <w:tcBorders>
              <w:right w:val="nil"/>
            </w:tcBorders>
          </w:tcPr>
          <w:p w14:paraId="30A9FE0C" w14:textId="77777777" w:rsidR="005000B6" w:rsidRPr="00336CF1" w:rsidRDefault="005000B6" w:rsidP="000A0EA4">
            <w:pPr>
              <w:pStyle w:val="TableText"/>
              <w:rPr>
                <w:sz w:val="24"/>
              </w:rPr>
            </w:pPr>
            <w:r w:rsidRPr="00336CF1">
              <w:t>4</w:t>
            </w:r>
          </w:p>
        </w:tc>
        <w:tc>
          <w:tcPr>
            <w:tcW w:w="2925" w:type="dxa"/>
            <w:tcBorders>
              <w:left w:val="nil"/>
            </w:tcBorders>
          </w:tcPr>
          <w:p w14:paraId="30A9FE0D" w14:textId="77777777" w:rsidR="005000B6" w:rsidRPr="00336CF1" w:rsidRDefault="005000B6" w:rsidP="000A0EA4">
            <w:pPr>
              <w:pStyle w:val="TableText"/>
            </w:pPr>
            <w:r w:rsidRPr="00336CF1">
              <w:t xml:space="preserve">Death Among Surgical Inpatients </w:t>
            </w:r>
            <w:r w:rsidR="0017680F">
              <w:t>W</w:t>
            </w:r>
            <w:r w:rsidRPr="00336CF1">
              <w:t>ith Serious Treatable Conditions</w:t>
            </w:r>
          </w:p>
        </w:tc>
        <w:tc>
          <w:tcPr>
            <w:tcW w:w="1440" w:type="dxa"/>
            <w:noWrap/>
          </w:tcPr>
          <w:p w14:paraId="30A9FE0E" w14:textId="77777777" w:rsidR="005000B6" w:rsidRPr="00336CF1" w:rsidRDefault="005000B6" w:rsidP="000A0EA4">
            <w:pPr>
              <w:pStyle w:val="TableText"/>
              <w:jc w:val="center"/>
            </w:pPr>
          </w:p>
        </w:tc>
        <w:tc>
          <w:tcPr>
            <w:tcW w:w="4320" w:type="dxa"/>
            <w:noWrap/>
          </w:tcPr>
          <w:p w14:paraId="30A9FE0F" w14:textId="77777777" w:rsidR="005000B6" w:rsidRPr="00336CF1" w:rsidRDefault="005000B6" w:rsidP="000A0EA4">
            <w:pPr>
              <w:pStyle w:val="TableText"/>
            </w:pPr>
          </w:p>
        </w:tc>
        <w:tc>
          <w:tcPr>
            <w:tcW w:w="3780" w:type="dxa"/>
            <w:noWrap/>
          </w:tcPr>
          <w:p w14:paraId="30A9FE10" w14:textId="77777777" w:rsidR="005000B6" w:rsidRDefault="005000B6" w:rsidP="000A0EA4">
            <w:pPr>
              <w:pStyle w:val="TableText"/>
            </w:pPr>
            <w:r w:rsidRPr="00336CF1">
              <w:t>Include coding of comorbidities to more accurately capture the rate (Rosen</w:t>
            </w:r>
            <w:r w:rsidR="0017680F">
              <w:t>,</w:t>
            </w:r>
            <w:r w:rsidRPr="00336CF1">
              <w:t xml:space="preserve"> et al</w:t>
            </w:r>
            <w:r w:rsidR="0017680F">
              <w:t>.</w:t>
            </w:r>
            <w:r w:rsidRPr="00336CF1">
              <w:t xml:space="preserve">, 2006; </w:t>
            </w:r>
            <w:proofErr w:type="spellStart"/>
            <w:r w:rsidRPr="00336CF1">
              <w:t>Talsma</w:t>
            </w:r>
            <w:proofErr w:type="spellEnd"/>
            <w:r w:rsidR="0017680F">
              <w:t>,</w:t>
            </w:r>
            <w:r w:rsidRPr="00336CF1">
              <w:t xml:space="preserve"> et al., 2008)</w:t>
            </w:r>
          </w:p>
          <w:p w14:paraId="30A9FE11" w14:textId="77777777" w:rsidR="00DB42FB" w:rsidRPr="00336CF1" w:rsidRDefault="00DB42FB" w:rsidP="000A0EA4">
            <w:pPr>
              <w:pStyle w:val="TableText"/>
            </w:pPr>
            <w:r>
              <w:t>Use V-code for palliative care provided.</w:t>
            </w:r>
          </w:p>
        </w:tc>
        <w:tc>
          <w:tcPr>
            <w:tcW w:w="1409" w:type="dxa"/>
            <w:noWrap/>
          </w:tcPr>
          <w:p w14:paraId="30A9FE12" w14:textId="77777777" w:rsidR="005000B6" w:rsidRPr="00336CF1" w:rsidRDefault="005000B6" w:rsidP="000A0EA4">
            <w:pPr>
              <w:pStyle w:val="TableText"/>
              <w:jc w:val="center"/>
            </w:pPr>
          </w:p>
        </w:tc>
      </w:tr>
      <w:tr w:rsidR="005000B6" w:rsidRPr="00336CF1" w14:paraId="30A9FE1A" w14:textId="77777777" w:rsidTr="000A0EA4">
        <w:trPr>
          <w:trHeight w:val="20"/>
          <w:jc w:val="center"/>
        </w:trPr>
        <w:tc>
          <w:tcPr>
            <w:tcW w:w="495" w:type="dxa"/>
            <w:tcBorders>
              <w:right w:val="nil"/>
            </w:tcBorders>
          </w:tcPr>
          <w:p w14:paraId="30A9FE14" w14:textId="77777777" w:rsidR="005000B6" w:rsidRPr="00336CF1" w:rsidRDefault="005000B6" w:rsidP="000A0EA4">
            <w:pPr>
              <w:pStyle w:val="TableText"/>
              <w:rPr>
                <w:sz w:val="24"/>
              </w:rPr>
            </w:pPr>
            <w:r w:rsidRPr="00336CF1">
              <w:t>5</w:t>
            </w:r>
          </w:p>
        </w:tc>
        <w:tc>
          <w:tcPr>
            <w:tcW w:w="2925" w:type="dxa"/>
            <w:tcBorders>
              <w:left w:val="nil"/>
            </w:tcBorders>
          </w:tcPr>
          <w:p w14:paraId="30A9FE15" w14:textId="77777777" w:rsidR="005000B6" w:rsidRPr="00336CF1" w:rsidRDefault="005000B6" w:rsidP="000A0EA4">
            <w:pPr>
              <w:pStyle w:val="TableText"/>
            </w:pPr>
            <w:r w:rsidRPr="00336CF1">
              <w:t>Foreign Body Left During Procedure</w:t>
            </w:r>
          </w:p>
        </w:tc>
        <w:tc>
          <w:tcPr>
            <w:tcW w:w="1440" w:type="dxa"/>
            <w:noWrap/>
          </w:tcPr>
          <w:p w14:paraId="30A9FE16" w14:textId="77777777" w:rsidR="005000B6" w:rsidRPr="00336CF1" w:rsidRDefault="005000B6" w:rsidP="000A0EA4">
            <w:pPr>
              <w:pStyle w:val="TableText"/>
              <w:jc w:val="center"/>
            </w:pPr>
            <w:r w:rsidRPr="00336CF1">
              <w:t>X</w:t>
            </w:r>
          </w:p>
        </w:tc>
        <w:tc>
          <w:tcPr>
            <w:tcW w:w="4320" w:type="dxa"/>
            <w:noWrap/>
          </w:tcPr>
          <w:p w14:paraId="30A9FE17" w14:textId="77777777" w:rsidR="005000B6" w:rsidRPr="00336CF1" w:rsidRDefault="005000B6" w:rsidP="000A0EA4">
            <w:pPr>
              <w:pStyle w:val="TableText"/>
            </w:pPr>
          </w:p>
        </w:tc>
        <w:tc>
          <w:tcPr>
            <w:tcW w:w="3780" w:type="dxa"/>
            <w:noWrap/>
          </w:tcPr>
          <w:p w14:paraId="30A9FE18" w14:textId="77777777" w:rsidR="005000B6" w:rsidRPr="00336CF1" w:rsidRDefault="005000B6" w:rsidP="000A0EA4">
            <w:pPr>
              <w:pStyle w:val="TableText"/>
            </w:pPr>
          </w:p>
        </w:tc>
        <w:tc>
          <w:tcPr>
            <w:tcW w:w="1409" w:type="dxa"/>
            <w:noWrap/>
          </w:tcPr>
          <w:p w14:paraId="30A9FE19" w14:textId="77777777" w:rsidR="005000B6" w:rsidRPr="00336CF1" w:rsidRDefault="005000B6" w:rsidP="000A0EA4">
            <w:pPr>
              <w:pStyle w:val="TableText"/>
              <w:jc w:val="center"/>
            </w:pPr>
          </w:p>
        </w:tc>
      </w:tr>
      <w:tr w:rsidR="005000B6" w:rsidRPr="00336CF1" w14:paraId="30A9FE21" w14:textId="77777777" w:rsidTr="000A0EA4">
        <w:trPr>
          <w:trHeight w:val="20"/>
          <w:jc w:val="center"/>
        </w:trPr>
        <w:tc>
          <w:tcPr>
            <w:tcW w:w="495" w:type="dxa"/>
            <w:tcBorders>
              <w:right w:val="nil"/>
            </w:tcBorders>
          </w:tcPr>
          <w:p w14:paraId="30A9FE1B" w14:textId="77777777" w:rsidR="005000B6" w:rsidRPr="00336CF1" w:rsidRDefault="005000B6" w:rsidP="000A0EA4">
            <w:pPr>
              <w:pStyle w:val="TableText"/>
              <w:rPr>
                <w:sz w:val="24"/>
              </w:rPr>
            </w:pPr>
            <w:r w:rsidRPr="00336CF1">
              <w:t>8</w:t>
            </w:r>
          </w:p>
        </w:tc>
        <w:tc>
          <w:tcPr>
            <w:tcW w:w="2925" w:type="dxa"/>
            <w:tcBorders>
              <w:left w:val="nil"/>
            </w:tcBorders>
          </w:tcPr>
          <w:p w14:paraId="30A9FE1C" w14:textId="77777777" w:rsidR="005000B6" w:rsidRPr="00336CF1" w:rsidRDefault="005000B6" w:rsidP="000A0EA4">
            <w:pPr>
              <w:pStyle w:val="TableText"/>
            </w:pPr>
            <w:r w:rsidRPr="00336CF1">
              <w:t>Postoperative Hip Fracture</w:t>
            </w:r>
          </w:p>
        </w:tc>
        <w:tc>
          <w:tcPr>
            <w:tcW w:w="1440" w:type="dxa"/>
            <w:noWrap/>
          </w:tcPr>
          <w:p w14:paraId="30A9FE1D" w14:textId="77777777" w:rsidR="005000B6" w:rsidRPr="00336CF1" w:rsidRDefault="005000B6" w:rsidP="000A0EA4">
            <w:pPr>
              <w:pStyle w:val="TableText"/>
              <w:jc w:val="center"/>
            </w:pPr>
            <w:r w:rsidRPr="00336CF1">
              <w:t>X</w:t>
            </w:r>
          </w:p>
        </w:tc>
        <w:tc>
          <w:tcPr>
            <w:tcW w:w="4320" w:type="dxa"/>
            <w:noWrap/>
          </w:tcPr>
          <w:p w14:paraId="30A9FE1E" w14:textId="77777777" w:rsidR="005000B6" w:rsidRPr="00336CF1" w:rsidRDefault="005000B6" w:rsidP="000A0EA4">
            <w:pPr>
              <w:pStyle w:val="TableText"/>
            </w:pPr>
          </w:p>
        </w:tc>
        <w:tc>
          <w:tcPr>
            <w:tcW w:w="3780" w:type="dxa"/>
            <w:noWrap/>
          </w:tcPr>
          <w:p w14:paraId="30A9FE1F" w14:textId="77777777" w:rsidR="005000B6" w:rsidRPr="00336CF1" w:rsidRDefault="005000B6" w:rsidP="000A0EA4">
            <w:pPr>
              <w:pStyle w:val="TableText"/>
            </w:pPr>
          </w:p>
        </w:tc>
        <w:tc>
          <w:tcPr>
            <w:tcW w:w="1409" w:type="dxa"/>
            <w:noWrap/>
          </w:tcPr>
          <w:p w14:paraId="30A9FE20" w14:textId="77777777" w:rsidR="005000B6" w:rsidRPr="00336CF1" w:rsidRDefault="005000B6" w:rsidP="000A0EA4">
            <w:pPr>
              <w:pStyle w:val="TableText"/>
              <w:jc w:val="center"/>
            </w:pPr>
          </w:p>
        </w:tc>
      </w:tr>
      <w:tr w:rsidR="005000B6" w:rsidRPr="00336CF1" w14:paraId="30A9FE29" w14:textId="77777777" w:rsidTr="000A0EA4">
        <w:trPr>
          <w:trHeight w:val="20"/>
          <w:jc w:val="center"/>
        </w:trPr>
        <w:tc>
          <w:tcPr>
            <w:tcW w:w="495" w:type="dxa"/>
            <w:tcBorders>
              <w:right w:val="nil"/>
            </w:tcBorders>
          </w:tcPr>
          <w:p w14:paraId="30A9FE22" w14:textId="77777777" w:rsidR="005000B6" w:rsidRPr="00336CF1" w:rsidRDefault="005000B6" w:rsidP="000A0EA4">
            <w:pPr>
              <w:pStyle w:val="TableText"/>
              <w:rPr>
                <w:sz w:val="24"/>
              </w:rPr>
            </w:pPr>
            <w:r w:rsidRPr="00336CF1">
              <w:t>9</w:t>
            </w:r>
          </w:p>
        </w:tc>
        <w:tc>
          <w:tcPr>
            <w:tcW w:w="2925" w:type="dxa"/>
            <w:tcBorders>
              <w:left w:val="nil"/>
            </w:tcBorders>
          </w:tcPr>
          <w:p w14:paraId="30A9FE23" w14:textId="77777777" w:rsidR="005000B6" w:rsidRPr="00336CF1" w:rsidRDefault="005000B6" w:rsidP="000A0EA4">
            <w:pPr>
              <w:pStyle w:val="TableText"/>
            </w:pPr>
            <w:r w:rsidRPr="00336CF1">
              <w:t>Postoperative Hemorrhage or Hematoma</w:t>
            </w:r>
          </w:p>
        </w:tc>
        <w:tc>
          <w:tcPr>
            <w:tcW w:w="1440" w:type="dxa"/>
            <w:noWrap/>
          </w:tcPr>
          <w:p w14:paraId="30A9FE24" w14:textId="77777777" w:rsidR="005000B6" w:rsidRPr="00336CF1" w:rsidRDefault="005000B6" w:rsidP="000A0EA4">
            <w:pPr>
              <w:pStyle w:val="TableText"/>
              <w:jc w:val="center"/>
            </w:pPr>
            <w:r w:rsidRPr="00336CF1">
              <w:t>X</w:t>
            </w:r>
          </w:p>
        </w:tc>
        <w:tc>
          <w:tcPr>
            <w:tcW w:w="4320" w:type="dxa"/>
            <w:noWrap/>
          </w:tcPr>
          <w:p w14:paraId="30A9FE25" w14:textId="77777777" w:rsidR="005000B6" w:rsidRDefault="005000B6" w:rsidP="000A0EA4">
            <w:pPr>
              <w:pStyle w:val="TableText"/>
            </w:pPr>
            <w:r w:rsidRPr="00336CF1">
              <w:t>Need to distinguish between ecchymosis (flat bruising of the skin) and hematoma (bruising with mass)</w:t>
            </w:r>
            <w:r w:rsidR="00D95250">
              <w:t xml:space="preserve">. </w:t>
            </w:r>
          </w:p>
          <w:p w14:paraId="30A9FE26" w14:textId="77777777" w:rsidR="005000B6" w:rsidRPr="00336CF1" w:rsidRDefault="00D95250" w:rsidP="000A0EA4">
            <w:pPr>
              <w:pStyle w:val="TableText"/>
              <w:rPr>
                <w:sz w:val="24"/>
              </w:rPr>
            </w:pPr>
            <w:r>
              <w:t xml:space="preserve">Indicator requires diagnosis code and procedure code. </w:t>
            </w:r>
          </w:p>
        </w:tc>
        <w:tc>
          <w:tcPr>
            <w:tcW w:w="3780" w:type="dxa"/>
            <w:noWrap/>
          </w:tcPr>
          <w:p w14:paraId="30A9FE27" w14:textId="77777777" w:rsidR="005000B6" w:rsidRPr="00336CF1" w:rsidRDefault="005000B6" w:rsidP="000A0EA4">
            <w:pPr>
              <w:pStyle w:val="TableText"/>
            </w:pPr>
          </w:p>
        </w:tc>
        <w:tc>
          <w:tcPr>
            <w:tcW w:w="1409" w:type="dxa"/>
            <w:noWrap/>
          </w:tcPr>
          <w:p w14:paraId="30A9FE28" w14:textId="77777777" w:rsidR="005000B6" w:rsidRPr="00336CF1" w:rsidRDefault="005000B6" w:rsidP="000A0EA4">
            <w:pPr>
              <w:pStyle w:val="TableText"/>
              <w:jc w:val="center"/>
            </w:pPr>
          </w:p>
        </w:tc>
      </w:tr>
      <w:tr w:rsidR="005000B6" w:rsidRPr="00336CF1" w14:paraId="30A9FE30" w14:textId="77777777" w:rsidTr="000A0EA4">
        <w:trPr>
          <w:trHeight w:val="20"/>
          <w:jc w:val="center"/>
        </w:trPr>
        <w:tc>
          <w:tcPr>
            <w:tcW w:w="495" w:type="dxa"/>
            <w:tcBorders>
              <w:right w:val="nil"/>
            </w:tcBorders>
          </w:tcPr>
          <w:p w14:paraId="30A9FE2A" w14:textId="77777777" w:rsidR="005000B6" w:rsidRPr="00336CF1" w:rsidRDefault="005000B6" w:rsidP="000A0EA4">
            <w:pPr>
              <w:pStyle w:val="TableText"/>
              <w:rPr>
                <w:sz w:val="24"/>
              </w:rPr>
            </w:pPr>
            <w:r w:rsidRPr="00336CF1">
              <w:t>10</w:t>
            </w:r>
          </w:p>
        </w:tc>
        <w:tc>
          <w:tcPr>
            <w:tcW w:w="2925" w:type="dxa"/>
            <w:tcBorders>
              <w:left w:val="nil"/>
            </w:tcBorders>
          </w:tcPr>
          <w:p w14:paraId="30A9FE2B" w14:textId="77777777" w:rsidR="005000B6" w:rsidRPr="00336CF1" w:rsidRDefault="005000B6" w:rsidP="000A0EA4">
            <w:pPr>
              <w:pStyle w:val="TableText"/>
            </w:pPr>
            <w:r w:rsidRPr="00336CF1">
              <w:t xml:space="preserve">Postoperative Physiologic </w:t>
            </w:r>
            <w:r w:rsidR="0017680F">
              <w:t>and</w:t>
            </w:r>
            <w:r w:rsidRPr="00336CF1">
              <w:t xml:space="preserve"> Metabolic Derangement</w:t>
            </w:r>
          </w:p>
        </w:tc>
        <w:tc>
          <w:tcPr>
            <w:tcW w:w="1440" w:type="dxa"/>
            <w:noWrap/>
          </w:tcPr>
          <w:p w14:paraId="30A9FE2C" w14:textId="77777777" w:rsidR="005000B6" w:rsidRPr="00336CF1" w:rsidRDefault="005000B6" w:rsidP="000A0EA4">
            <w:pPr>
              <w:pStyle w:val="TableText"/>
              <w:jc w:val="center"/>
            </w:pPr>
            <w:r w:rsidRPr="00336CF1">
              <w:t>X</w:t>
            </w:r>
          </w:p>
        </w:tc>
        <w:tc>
          <w:tcPr>
            <w:tcW w:w="4320" w:type="dxa"/>
            <w:noWrap/>
          </w:tcPr>
          <w:p w14:paraId="30A9FE2D" w14:textId="77777777" w:rsidR="005000B6" w:rsidRPr="00336CF1" w:rsidRDefault="00D95250" w:rsidP="000A0EA4">
            <w:pPr>
              <w:pStyle w:val="TableText"/>
            </w:pPr>
            <w:r>
              <w:t>May require one diagnosis code OR a diagnosis code and procedure code</w:t>
            </w:r>
            <w:r w:rsidR="0017680F">
              <w:t>.</w:t>
            </w:r>
          </w:p>
        </w:tc>
        <w:tc>
          <w:tcPr>
            <w:tcW w:w="3780" w:type="dxa"/>
            <w:noWrap/>
          </w:tcPr>
          <w:p w14:paraId="30A9FE2E" w14:textId="77777777" w:rsidR="005000B6" w:rsidRPr="00336CF1" w:rsidRDefault="005000B6" w:rsidP="000A0EA4">
            <w:pPr>
              <w:pStyle w:val="TableText"/>
            </w:pPr>
          </w:p>
        </w:tc>
        <w:tc>
          <w:tcPr>
            <w:tcW w:w="1409" w:type="dxa"/>
            <w:noWrap/>
          </w:tcPr>
          <w:p w14:paraId="30A9FE2F" w14:textId="77777777" w:rsidR="005000B6" w:rsidRPr="00336CF1" w:rsidRDefault="005000B6" w:rsidP="000A0EA4">
            <w:pPr>
              <w:pStyle w:val="TableText"/>
              <w:jc w:val="center"/>
            </w:pPr>
            <w:r w:rsidRPr="00336CF1">
              <w:t>X</w:t>
            </w:r>
          </w:p>
        </w:tc>
      </w:tr>
      <w:tr w:rsidR="005000B6" w:rsidRPr="00336CF1" w14:paraId="30A9FE3F" w14:textId="77777777" w:rsidTr="000A0EA4">
        <w:trPr>
          <w:trHeight w:val="20"/>
          <w:jc w:val="center"/>
        </w:trPr>
        <w:tc>
          <w:tcPr>
            <w:tcW w:w="495" w:type="dxa"/>
            <w:tcBorders>
              <w:right w:val="nil"/>
            </w:tcBorders>
          </w:tcPr>
          <w:p w14:paraId="30A9FE31" w14:textId="77777777" w:rsidR="005000B6" w:rsidRPr="00336CF1" w:rsidRDefault="005000B6" w:rsidP="000A0EA4">
            <w:pPr>
              <w:pStyle w:val="TableText"/>
              <w:rPr>
                <w:sz w:val="24"/>
              </w:rPr>
            </w:pPr>
            <w:r w:rsidRPr="00336CF1">
              <w:t>11</w:t>
            </w:r>
          </w:p>
        </w:tc>
        <w:tc>
          <w:tcPr>
            <w:tcW w:w="2925" w:type="dxa"/>
            <w:tcBorders>
              <w:left w:val="nil"/>
            </w:tcBorders>
          </w:tcPr>
          <w:p w14:paraId="30A9FE32" w14:textId="77777777" w:rsidR="005000B6" w:rsidRPr="00336CF1" w:rsidRDefault="005000B6" w:rsidP="000A0EA4">
            <w:pPr>
              <w:pStyle w:val="TableText"/>
            </w:pPr>
            <w:r w:rsidRPr="00336CF1">
              <w:t>Postoperative Respiratory Failure</w:t>
            </w:r>
          </w:p>
        </w:tc>
        <w:tc>
          <w:tcPr>
            <w:tcW w:w="1440" w:type="dxa"/>
            <w:noWrap/>
          </w:tcPr>
          <w:p w14:paraId="30A9FE33" w14:textId="77777777" w:rsidR="005000B6" w:rsidRPr="00336CF1" w:rsidRDefault="005000B6" w:rsidP="000A0EA4">
            <w:pPr>
              <w:pStyle w:val="TableText"/>
              <w:jc w:val="center"/>
            </w:pPr>
            <w:r w:rsidRPr="00336CF1">
              <w:t>X</w:t>
            </w:r>
          </w:p>
        </w:tc>
        <w:tc>
          <w:tcPr>
            <w:tcW w:w="4320" w:type="dxa"/>
            <w:noWrap/>
          </w:tcPr>
          <w:p w14:paraId="30A9FE34" w14:textId="6E04B8D7" w:rsidR="005000B6" w:rsidRPr="00336CF1" w:rsidRDefault="005000B6" w:rsidP="000A0EA4">
            <w:pPr>
              <w:pStyle w:val="TableText"/>
            </w:pPr>
            <w:r w:rsidRPr="00336CF1">
              <w:t>The coder should never assume a diagnosis of respiratory failure without a documented diagnosis by the physician.</w:t>
            </w:r>
            <w:r w:rsidR="00612A3E">
              <w:t xml:space="preserve"> </w:t>
            </w:r>
            <w:r w:rsidRPr="00336CF1">
              <w:t xml:space="preserve">Respiratory failure is classified as acute (518.81), chronic (518.83), or acute and chronic combined (518.84). </w:t>
            </w:r>
          </w:p>
          <w:p w14:paraId="30A9FE35" w14:textId="77777777" w:rsidR="005000B6" w:rsidRPr="00336CF1" w:rsidRDefault="005000B6" w:rsidP="000A0EA4">
            <w:pPr>
              <w:pStyle w:val="TableText"/>
            </w:pPr>
            <w:r w:rsidRPr="00336CF1">
              <w:t xml:space="preserve">When respiratory failure follows surgery or trauma, assign code 518.5 (Neal &amp; Romano). </w:t>
            </w:r>
          </w:p>
          <w:p w14:paraId="30A9FE36" w14:textId="77777777" w:rsidR="005000B6" w:rsidRPr="00336CF1" w:rsidRDefault="005000B6" w:rsidP="000A0EA4">
            <w:pPr>
              <w:pStyle w:val="TableText"/>
            </w:pPr>
            <w:r w:rsidRPr="00336CF1">
              <w:t xml:space="preserve">Do NOT use </w:t>
            </w:r>
            <w:r w:rsidR="0076259F">
              <w:t xml:space="preserve">procedure </w:t>
            </w:r>
            <w:r w:rsidRPr="00336CF1">
              <w:t>code 96.04 when intubation was an expected part of procedure (Neal &amp; Romano)</w:t>
            </w:r>
            <w:r w:rsidR="0017680F">
              <w:t>.</w:t>
            </w:r>
          </w:p>
          <w:p w14:paraId="30A9FE37" w14:textId="77777777" w:rsidR="005000B6" w:rsidRPr="00336CF1" w:rsidRDefault="005000B6" w:rsidP="000A0EA4">
            <w:pPr>
              <w:pStyle w:val="TableText"/>
              <w:rPr>
                <w:sz w:val="24"/>
              </w:rPr>
            </w:pPr>
            <w:r w:rsidRPr="00336CF1">
              <w:t>Coding should distinguish between respiratory insufficiency and respiratory failure (UHC Documentation Guide Post</w:t>
            </w:r>
            <w:r w:rsidR="00A71A61">
              <w:t>-</w:t>
            </w:r>
            <w:r w:rsidRPr="00336CF1">
              <w:t xml:space="preserve"> Operative Respiratory Failure)</w:t>
            </w:r>
            <w:r w:rsidR="00A71A61">
              <w:t>.</w:t>
            </w:r>
          </w:p>
        </w:tc>
        <w:tc>
          <w:tcPr>
            <w:tcW w:w="3780" w:type="dxa"/>
            <w:noWrap/>
          </w:tcPr>
          <w:p w14:paraId="30A9FE38" w14:textId="53857959" w:rsidR="005000B6" w:rsidRPr="00336CF1" w:rsidRDefault="000A37D2" w:rsidP="000A0EA4">
            <w:pPr>
              <w:pStyle w:val="TableText"/>
            </w:pPr>
            <w:r>
              <w:t xml:space="preserve">Distinguish between </w:t>
            </w:r>
            <w:r w:rsidRPr="00336CF1">
              <w:t xml:space="preserve">intraoperative </w:t>
            </w:r>
            <w:r>
              <w:t>and</w:t>
            </w:r>
            <w:r w:rsidRPr="00336CF1">
              <w:t xml:space="preserve"> postoperative when coding</w:t>
            </w:r>
            <w:r>
              <w:t>.</w:t>
            </w:r>
            <w:r w:rsidR="00612A3E">
              <w:t xml:space="preserve"> </w:t>
            </w:r>
            <w:r w:rsidR="005000B6" w:rsidRPr="00336CF1">
              <w:t>Considerations for wording:</w:t>
            </w:r>
          </w:p>
          <w:p w14:paraId="30A9FE39" w14:textId="77777777" w:rsidR="005000B6" w:rsidRPr="00336CF1" w:rsidRDefault="005000B6" w:rsidP="000A0EA4">
            <w:pPr>
              <w:pStyle w:val="TableText"/>
              <w:numPr>
                <w:ilvl w:val="0"/>
                <w:numId w:val="26"/>
              </w:numPr>
            </w:pPr>
            <w:r w:rsidRPr="00336CF1">
              <w:t>Separate codes for “…following trauma” and “…following surgery</w:t>
            </w:r>
            <w:r w:rsidR="00A71A61">
              <w:t>.</w:t>
            </w:r>
            <w:r w:rsidRPr="00336CF1">
              <w:t>”</w:t>
            </w:r>
          </w:p>
          <w:p w14:paraId="30A9FE3A" w14:textId="77777777" w:rsidR="005000B6" w:rsidRPr="00336CF1" w:rsidRDefault="005000B6" w:rsidP="000A0EA4">
            <w:pPr>
              <w:pStyle w:val="TableText"/>
              <w:numPr>
                <w:ilvl w:val="0"/>
                <w:numId w:val="26"/>
              </w:numPr>
            </w:pPr>
            <w:r w:rsidRPr="00336CF1">
              <w:t>Clarify whether “following” is equivalent to “due to,” “caused by,” and/or “associated with”?</w:t>
            </w:r>
          </w:p>
          <w:p w14:paraId="30A9FE3B" w14:textId="77777777" w:rsidR="005000B6" w:rsidRPr="00336CF1" w:rsidRDefault="005000B6" w:rsidP="000A0EA4">
            <w:pPr>
              <w:pStyle w:val="TableText"/>
              <w:numPr>
                <w:ilvl w:val="0"/>
                <w:numId w:val="26"/>
              </w:numPr>
            </w:pPr>
            <w:r w:rsidRPr="00336CF1">
              <w:t>Reassign respiratory failure to 997.3x (“respiratory complications”) if “due to” surgery?</w:t>
            </w:r>
          </w:p>
          <w:p w14:paraId="30A9FE3C" w14:textId="3E086170" w:rsidR="005000B6" w:rsidRPr="00336CF1" w:rsidRDefault="005000B6" w:rsidP="000A0EA4">
            <w:pPr>
              <w:pStyle w:val="TableText"/>
              <w:numPr>
                <w:ilvl w:val="0"/>
                <w:numId w:val="26"/>
              </w:numPr>
            </w:pPr>
            <w:r w:rsidRPr="00336CF1">
              <w:t xml:space="preserve">Reassign respiratory failure to 995.22 (“unspecified adverse effect of anesthesia”) if “due to” </w:t>
            </w:r>
            <w:r w:rsidRPr="00336CF1">
              <w:lastRenderedPageBreak/>
              <w:t>anesthetic administration?</w:t>
            </w:r>
            <w:r w:rsidR="00612A3E">
              <w:t xml:space="preserve"> </w:t>
            </w:r>
            <w:r w:rsidRPr="00336CF1">
              <w:t>(Neal &amp; Romano)</w:t>
            </w:r>
          </w:p>
          <w:p w14:paraId="30A9FE3D" w14:textId="77777777" w:rsidR="005000B6" w:rsidRPr="00336CF1" w:rsidRDefault="005000B6" w:rsidP="000A0EA4">
            <w:pPr>
              <w:pStyle w:val="TableText"/>
            </w:pPr>
            <w:bookmarkStart w:id="0" w:name="_GoBack"/>
            <w:bookmarkEnd w:id="0"/>
            <w:r w:rsidRPr="00A216F3">
              <w:t>Need to ensure that coders are adhering to AHRQ guidelines for the timeline for “postop</w:t>
            </w:r>
            <w:r w:rsidR="00A71A61">
              <w:t>erative.</w:t>
            </w:r>
            <w:r w:rsidRPr="00A216F3">
              <w:t>”</w:t>
            </w:r>
          </w:p>
        </w:tc>
        <w:tc>
          <w:tcPr>
            <w:tcW w:w="1409" w:type="dxa"/>
            <w:noWrap/>
          </w:tcPr>
          <w:p w14:paraId="30A9FE3E" w14:textId="77777777" w:rsidR="005000B6" w:rsidRPr="00336CF1" w:rsidRDefault="005000B6" w:rsidP="000A0EA4">
            <w:pPr>
              <w:pStyle w:val="TableText"/>
              <w:jc w:val="center"/>
            </w:pPr>
            <w:r w:rsidRPr="00336CF1">
              <w:lastRenderedPageBreak/>
              <w:t>X</w:t>
            </w:r>
          </w:p>
        </w:tc>
      </w:tr>
      <w:tr w:rsidR="005000B6" w:rsidRPr="00336CF1" w14:paraId="30A9FE48" w14:textId="77777777" w:rsidTr="000A0EA4">
        <w:trPr>
          <w:trHeight w:val="20"/>
          <w:jc w:val="center"/>
        </w:trPr>
        <w:tc>
          <w:tcPr>
            <w:tcW w:w="495" w:type="dxa"/>
            <w:tcBorders>
              <w:right w:val="nil"/>
            </w:tcBorders>
          </w:tcPr>
          <w:p w14:paraId="30A9FE40" w14:textId="77777777" w:rsidR="005000B6" w:rsidRPr="00336CF1" w:rsidRDefault="005000B6" w:rsidP="000A0EA4">
            <w:pPr>
              <w:pStyle w:val="TableText"/>
              <w:rPr>
                <w:sz w:val="24"/>
              </w:rPr>
            </w:pPr>
            <w:r w:rsidRPr="00336CF1">
              <w:lastRenderedPageBreak/>
              <w:t>12</w:t>
            </w:r>
          </w:p>
        </w:tc>
        <w:tc>
          <w:tcPr>
            <w:tcW w:w="2925" w:type="dxa"/>
            <w:tcBorders>
              <w:left w:val="nil"/>
            </w:tcBorders>
          </w:tcPr>
          <w:p w14:paraId="30A9FE41" w14:textId="77777777" w:rsidR="005000B6" w:rsidRPr="00336CF1" w:rsidRDefault="005000B6" w:rsidP="000A0EA4">
            <w:pPr>
              <w:pStyle w:val="TableText"/>
            </w:pPr>
            <w:r w:rsidRPr="00336CF1">
              <w:t>Deep Vein Thrombosis (DVT)</w:t>
            </w:r>
          </w:p>
        </w:tc>
        <w:tc>
          <w:tcPr>
            <w:tcW w:w="1440" w:type="dxa"/>
            <w:noWrap/>
          </w:tcPr>
          <w:p w14:paraId="30A9FE42" w14:textId="77777777" w:rsidR="005000B6" w:rsidRPr="00336CF1" w:rsidRDefault="005000B6" w:rsidP="000A0EA4">
            <w:pPr>
              <w:pStyle w:val="TableText"/>
              <w:jc w:val="center"/>
            </w:pPr>
            <w:r w:rsidRPr="00336CF1">
              <w:t>X</w:t>
            </w:r>
          </w:p>
        </w:tc>
        <w:tc>
          <w:tcPr>
            <w:tcW w:w="4320" w:type="dxa"/>
            <w:noWrap/>
          </w:tcPr>
          <w:p w14:paraId="30A9FE44" w14:textId="0674690A" w:rsidR="005000B6" w:rsidRPr="00336CF1" w:rsidRDefault="000568B6" w:rsidP="000A0EA4">
            <w:pPr>
              <w:pStyle w:val="TableText"/>
              <w:rPr>
                <w:sz w:val="24"/>
              </w:rPr>
            </w:pPr>
            <w:r w:rsidRPr="00336CF1" w:rsidDel="000568B6">
              <w:t xml:space="preserve"> </w:t>
            </w:r>
            <w:r w:rsidR="005000B6" w:rsidRPr="00336CF1">
              <w:t>“Superficial embolism” may be coded mistakenly as “deep embolism</w:t>
            </w:r>
            <w:r w:rsidR="00F927D2">
              <w:t>.</w:t>
            </w:r>
            <w:r w:rsidR="005000B6" w:rsidRPr="00336CF1">
              <w:t>”</w:t>
            </w:r>
          </w:p>
        </w:tc>
        <w:tc>
          <w:tcPr>
            <w:tcW w:w="3780" w:type="dxa"/>
            <w:noWrap/>
          </w:tcPr>
          <w:p w14:paraId="30A9FE45" w14:textId="77777777" w:rsidR="005000B6" w:rsidRDefault="005000B6" w:rsidP="000A0EA4">
            <w:pPr>
              <w:pStyle w:val="TableText"/>
            </w:pPr>
            <w:r w:rsidRPr="00336CF1">
              <w:t xml:space="preserve">Current PSI 12 criteria do not accurately identify patients with acute postoperative lower extremity DVT or </w:t>
            </w:r>
            <w:r w:rsidR="00F927D2">
              <w:t>pulmonary embolism</w:t>
            </w:r>
            <w:r w:rsidRPr="00336CF1">
              <w:t xml:space="preserve">. Modification of the ICD-9-CM codes and implementation of “present on admission” flags should improve the predictive value for clinically important </w:t>
            </w:r>
            <w:r w:rsidR="00F927D2">
              <w:t>venous thromboembolism</w:t>
            </w:r>
            <w:r w:rsidRPr="00336CF1">
              <w:t xml:space="preserve"> events (White, </w:t>
            </w:r>
            <w:r w:rsidR="00FF6D8B">
              <w:t xml:space="preserve">et al., </w:t>
            </w:r>
            <w:r w:rsidRPr="00336CF1">
              <w:t>2009)</w:t>
            </w:r>
            <w:r w:rsidR="00F927D2">
              <w:t>.</w:t>
            </w:r>
          </w:p>
          <w:p w14:paraId="30A9FE46" w14:textId="77777777" w:rsidR="005000B6" w:rsidRPr="00336CF1" w:rsidRDefault="00CD7928" w:rsidP="000A0EA4">
            <w:pPr>
              <w:pStyle w:val="TableText"/>
            </w:pPr>
            <w:r>
              <w:t xml:space="preserve">There is no code </w:t>
            </w:r>
            <w:r w:rsidR="003B4ECD">
              <w:t xml:space="preserve">that defines the timing for </w:t>
            </w:r>
            <w:r>
              <w:t>DVT</w:t>
            </w:r>
            <w:r w:rsidR="003B4ECD">
              <w:t>, so</w:t>
            </w:r>
            <w:r>
              <w:t xml:space="preserve"> </w:t>
            </w:r>
            <w:r w:rsidR="003B4ECD">
              <w:t>those that</w:t>
            </w:r>
            <w:r>
              <w:t xml:space="preserve"> occur before or during a procedure</w:t>
            </w:r>
            <w:r w:rsidR="003B4ECD">
              <w:t xml:space="preserve"> are coded the same</w:t>
            </w:r>
            <w:r>
              <w:t xml:space="preserve">. </w:t>
            </w:r>
            <w:r w:rsidR="003B4ECD">
              <w:t>C</w:t>
            </w:r>
            <w:r>
              <w:t xml:space="preserve">oders should be </w:t>
            </w:r>
            <w:r w:rsidR="00F927D2">
              <w:t>aware</w:t>
            </w:r>
            <w:r w:rsidR="003B4ECD">
              <w:t xml:space="preserve"> of this issue</w:t>
            </w:r>
            <w:r>
              <w:t xml:space="preserve">. </w:t>
            </w:r>
          </w:p>
        </w:tc>
        <w:tc>
          <w:tcPr>
            <w:tcW w:w="1409" w:type="dxa"/>
            <w:noWrap/>
          </w:tcPr>
          <w:p w14:paraId="30A9FE47" w14:textId="77777777" w:rsidR="005000B6" w:rsidRPr="00336CF1" w:rsidRDefault="005000B6" w:rsidP="000A0EA4">
            <w:pPr>
              <w:pStyle w:val="TableText"/>
              <w:jc w:val="center"/>
            </w:pPr>
          </w:p>
        </w:tc>
      </w:tr>
      <w:tr w:rsidR="005000B6" w:rsidRPr="00336CF1" w14:paraId="30A9FE4F" w14:textId="77777777" w:rsidTr="000A0EA4">
        <w:trPr>
          <w:trHeight w:val="20"/>
          <w:jc w:val="center"/>
        </w:trPr>
        <w:tc>
          <w:tcPr>
            <w:tcW w:w="495" w:type="dxa"/>
            <w:tcBorders>
              <w:right w:val="nil"/>
            </w:tcBorders>
          </w:tcPr>
          <w:p w14:paraId="30A9FE49" w14:textId="77777777" w:rsidR="005000B6" w:rsidRPr="00336CF1" w:rsidRDefault="005000B6" w:rsidP="000A0EA4">
            <w:pPr>
              <w:pStyle w:val="TableText"/>
              <w:rPr>
                <w:sz w:val="24"/>
              </w:rPr>
            </w:pPr>
            <w:r w:rsidRPr="00336CF1">
              <w:t>13</w:t>
            </w:r>
          </w:p>
        </w:tc>
        <w:tc>
          <w:tcPr>
            <w:tcW w:w="2925" w:type="dxa"/>
            <w:tcBorders>
              <w:left w:val="nil"/>
            </w:tcBorders>
          </w:tcPr>
          <w:p w14:paraId="30A9FE4A" w14:textId="77777777" w:rsidR="005000B6" w:rsidRPr="00336CF1" w:rsidRDefault="005000B6" w:rsidP="000A0EA4">
            <w:pPr>
              <w:pStyle w:val="TableText"/>
            </w:pPr>
            <w:r w:rsidRPr="00336CF1">
              <w:t>Postoperative Sepsis</w:t>
            </w:r>
          </w:p>
        </w:tc>
        <w:tc>
          <w:tcPr>
            <w:tcW w:w="1440" w:type="dxa"/>
            <w:noWrap/>
          </w:tcPr>
          <w:p w14:paraId="30A9FE4B" w14:textId="77777777" w:rsidR="005000B6" w:rsidRPr="00336CF1" w:rsidRDefault="005000B6" w:rsidP="000A0EA4">
            <w:pPr>
              <w:pStyle w:val="TableText"/>
              <w:jc w:val="center"/>
            </w:pPr>
            <w:r w:rsidRPr="00336CF1">
              <w:t>X</w:t>
            </w:r>
          </w:p>
        </w:tc>
        <w:tc>
          <w:tcPr>
            <w:tcW w:w="4320" w:type="dxa"/>
            <w:noWrap/>
          </w:tcPr>
          <w:p w14:paraId="30A9FE4C" w14:textId="77777777" w:rsidR="005000B6" w:rsidRPr="00336CF1" w:rsidRDefault="005000B6" w:rsidP="000A0EA4">
            <w:pPr>
              <w:pStyle w:val="TableText"/>
            </w:pPr>
            <w:r w:rsidRPr="00176319">
              <w:t>Should not be coded unless provider provides documentation of postop</w:t>
            </w:r>
            <w:r w:rsidR="00F927D2">
              <w:t>erative</w:t>
            </w:r>
            <w:r w:rsidRPr="00176319">
              <w:t xml:space="preserve"> infection with positive laboratory cultures</w:t>
            </w:r>
            <w:r w:rsidR="00F927D2">
              <w:t>.</w:t>
            </w:r>
            <w:r w:rsidRPr="00176319">
              <w:t xml:space="preserve"> </w:t>
            </w:r>
          </w:p>
        </w:tc>
        <w:tc>
          <w:tcPr>
            <w:tcW w:w="3780" w:type="dxa"/>
            <w:noWrap/>
          </w:tcPr>
          <w:p w14:paraId="30A9FE4D" w14:textId="0E0CD4C3" w:rsidR="005000B6" w:rsidRPr="00336CF1" w:rsidRDefault="005000B6" w:rsidP="000A0EA4">
            <w:pPr>
              <w:pStyle w:val="TableText"/>
            </w:pPr>
            <w:r w:rsidRPr="00336CF1">
              <w:t xml:space="preserve">In coding, distinguish between </w:t>
            </w:r>
            <w:r w:rsidRPr="00A216F3">
              <w:t>intraoperative and postoperative sepsis</w:t>
            </w:r>
            <w:r w:rsidR="009345CD">
              <w:t xml:space="preserve"> (</w:t>
            </w:r>
            <w:r w:rsidR="009345CD" w:rsidRPr="009345CD">
              <w:t>http://jama.jamanetwork.com/article.aspx?articleid=1748150&amp;resultClick=1</w:t>
            </w:r>
            <w:r w:rsidR="009345CD">
              <w:t>)</w:t>
            </w:r>
            <w:r w:rsidRPr="00336CF1">
              <w:t>.</w:t>
            </w:r>
          </w:p>
        </w:tc>
        <w:tc>
          <w:tcPr>
            <w:tcW w:w="1409" w:type="dxa"/>
            <w:noWrap/>
          </w:tcPr>
          <w:p w14:paraId="30A9FE4E" w14:textId="77777777" w:rsidR="005000B6" w:rsidRPr="00336CF1" w:rsidRDefault="005000B6" w:rsidP="000A0EA4">
            <w:pPr>
              <w:pStyle w:val="TableText"/>
              <w:jc w:val="center"/>
            </w:pPr>
            <w:r w:rsidRPr="00336CF1">
              <w:t>X</w:t>
            </w:r>
          </w:p>
        </w:tc>
      </w:tr>
      <w:tr w:rsidR="005000B6" w:rsidRPr="00336CF1" w14:paraId="30A9FE56" w14:textId="77777777" w:rsidTr="000A0EA4">
        <w:trPr>
          <w:trHeight w:val="20"/>
          <w:jc w:val="center"/>
        </w:trPr>
        <w:tc>
          <w:tcPr>
            <w:tcW w:w="495" w:type="dxa"/>
            <w:tcBorders>
              <w:right w:val="nil"/>
            </w:tcBorders>
          </w:tcPr>
          <w:p w14:paraId="30A9FE50" w14:textId="77777777" w:rsidR="005000B6" w:rsidRPr="00336CF1" w:rsidRDefault="005000B6" w:rsidP="000A0EA4">
            <w:pPr>
              <w:pStyle w:val="TableText"/>
              <w:rPr>
                <w:sz w:val="24"/>
              </w:rPr>
            </w:pPr>
            <w:r w:rsidRPr="00336CF1">
              <w:t>14</w:t>
            </w:r>
          </w:p>
        </w:tc>
        <w:tc>
          <w:tcPr>
            <w:tcW w:w="2925" w:type="dxa"/>
            <w:tcBorders>
              <w:left w:val="nil"/>
            </w:tcBorders>
          </w:tcPr>
          <w:p w14:paraId="30A9FE51" w14:textId="77777777" w:rsidR="005000B6" w:rsidRPr="00336CF1" w:rsidRDefault="005000B6" w:rsidP="000A0EA4">
            <w:pPr>
              <w:pStyle w:val="TableText"/>
            </w:pPr>
            <w:r w:rsidRPr="00336CF1">
              <w:t>Postoperative Wound Dehiscence</w:t>
            </w:r>
          </w:p>
        </w:tc>
        <w:tc>
          <w:tcPr>
            <w:tcW w:w="1440" w:type="dxa"/>
            <w:noWrap/>
          </w:tcPr>
          <w:p w14:paraId="30A9FE52" w14:textId="77777777" w:rsidR="005000B6" w:rsidRPr="00336CF1" w:rsidRDefault="005000B6" w:rsidP="000A0EA4">
            <w:pPr>
              <w:pStyle w:val="TableText"/>
              <w:jc w:val="center"/>
            </w:pPr>
            <w:r w:rsidRPr="00336CF1">
              <w:t>X</w:t>
            </w:r>
          </w:p>
        </w:tc>
        <w:tc>
          <w:tcPr>
            <w:tcW w:w="4320" w:type="dxa"/>
            <w:noWrap/>
          </w:tcPr>
          <w:p w14:paraId="30A9FE53" w14:textId="77777777" w:rsidR="005000B6" w:rsidRPr="00336CF1" w:rsidRDefault="009564BD" w:rsidP="000A0EA4">
            <w:pPr>
              <w:pStyle w:val="TableText"/>
            </w:pPr>
            <w:r>
              <w:t xml:space="preserve">This indicator is identified by a procedure code. </w:t>
            </w:r>
          </w:p>
        </w:tc>
        <w:tc>
          <w:tcPr>
            <w:tcW w:w="3780" w:type="dxa"/>
            <w:noWrap/>
          </w:tcPr>
          <w:p w14:paraId="30A9FE54" w14:textId="77777777" w:rsidR="005000B6" w:rsidRPr="00336CF1" w:rsidRDefault="005000B6" w:rsidP="000A0EA4">
            <w:pPr>
              <w:pStyle w:val="TableText"/>
            </w:pPr>
            <w:r w:rsidRPr="00336CF1">
              <w:t> </w:t>
            </w:r>
          </w:p>
        </w:tc>
        <w:tc>
          <w:tcPr>
            <w:tcW w:w="1409" w:type="dxa"/>
            <w:noWrap/>
          </w:tcPr>
          <w:p w14:paraId="30A9FE55" w14:textId="77777777" w:rsidR="005000B6" w:rsidRPr="00336CF1" w:rsidRDefault="005000B6" w:rsidP="000A0EA4">
            <w:pPr>
              <w:pStyle w:val="TableText"/>
              <w:jc w:val="center"/>
            </w:pPr>
          </w:p>
        </w:tc>
      </w:tr>
      <w:tr w:rsidR="005000B6" w:rsidRPr="00336CF1" w14:paraId="30A9FE5C" w14:textId="77777777" w:rsidTr="000A0EA4">
        <w:trPr>
          <w:trHeight w:val="20"/>
          <w:jc w:val="center"/>
        </w:trPr>
        <w:tc>
          <w:tcPr>
            <w:tcW w:w="3420" w:type="dxa"/>
            <w:gridSpan w:val="2"/>
            <w:tcBorders>
              <w:right w:val="nil"/>
            </w:tcBorders>
          </w:tcPr>
          <w:p w14:paraId="30A9FE57" w14:textId="77777777" w:rsidR="005000B6" w:rsidRPr="000A0EA4" w:rsidRDefault="005000B6" w:rsidP="000A0EA4">
            <w:pPr>
              <w:pStyle w:val="TableText"/>
              <w:rPr>
                <w:b/>
              </w:rPr>
            </w:pPr>
            <w:r w:rsidRPr="000A0EA4">
              <w:rPr>
                <w:b/>
              </w:rPr>
              <w:t>Medical and Surgical PSIs</w:t>
            </w:r>
          </w:p>
        </w:tc>
        <w:tc>
          <w:tcPr>
            <w:tcW w:w="1440" w:type="dxa"/>
            <w:tcBorders>
              <w:left w:val="nil"/>
              <w:right w:val="nil"/>
            </w:tcBorders>
            <w:noWrap/>
          </w:tcPr>
          <w:p w14:paraId="30A9FE58" w14:textId="77777777" w:rsidR="005000B6" w:rsidRPr="00336CF1" w:rsidRDefault="005000B6" w:rsidP="000A0EA4">
            <w:pPr>
              <w:pStyle w:val="TableText"/>
              <w:jc w:val="center"/>
            </w:pPr>
          </w:p>
        </w:tc>
        <w:tc>
          <w:tcPr>
            <w:tcW w:w="4320" w:type="dxa"/>
            <w:tcBorders>
              <w:left w:val="nil"/>
              <w:right w:val="nil"/>
            </w:tcBorders>
            <w:noWrap/>
          </w:tcPr>
          <w:p w14:paraId="30A9FE59" w14:textId="77777777" w:rsidR="005000B6" w:rsidRPr="00336CF1" w:rsidRDefault="005000B6" w:rsidP="000A0EA4">
            <w:pPr>
              <w:pStyle w:val="TableText"/>
            </w:pPr>
            <w:r w:rsidRPr="00336CF1">
              <w:t> </w:t>
            </w:r>
          </w:p>
        </w:tc>
        <w:tc>
          <w:tcPr>
            <w:tcW w:w="3780" w:type="dxa"/>
            <w:tcBorders>
              <w:left w:val="nil"/>
              <w:right w:val="nil"/>
            </w:tcBorders>
            <w:noWrap/>
          </w:tcPr>
          <w:p w14:paraId="30A9FE5A" w14:textId="77777777" w:rsidR="005000B6" w:rsidRPr="00336CF1" w:rsidRDefault="005000B6" w:rsidP="000A0EA4">
            <w:pPr>
              <w:pStyle w:val="TableText"/>
            </w:pPr>
            <w:r w:rsidRPr="00336CF1">
              <w:t> </w:t>
            </w:r>
          </w:p>
        </w:tc>
        <w:tc>
          <w:tcPr>
            <w:tcW w:w="1409" w:type="dxa"/>
            <w:tcBorders>
              <w:left w:val="nil"/>
            </w:tcBorders>
            <w:noWrap/>
          </w:tcPr>
          <w:p w14:paraId="30A9FE5B" w14:textId="77777777" w:rsidR="005000B6" w:rsidRPr="00336CF1" w:rsidRDefault="005000B6" w:rsidP="000A0EA4">
            <w:pPr>
              <w:pStyle w:val="TableText"/>
              <w:jc w:val="center"/>
            </w:pPr>
          </w:p>
        </w:tc>
      </w:tr>
      <w:tr w:rsidR="005000B6" w:rsidRPr="00336CF1" w14:paraId="30A9FE63" w14:textId="77777777" w:rsidTr="000A0EA4">
        <w:trPr>
          <w:trHeight w:val="20"/>
          <w:jc w:val="center"/>
        </w:trPr>
        <w:tc>
          <w:tcPr>
            <w:tcW w:w="495" w:type="dxa"/>
            <w:tcBorders>
              <w:right w:val="nil"/>
            </w:tcBorders>
          </w:tcPr>
          <w:p w14:paraId="30A9FE5D" w14:textId="77777777" w:rsidR="005000B6" w:rsidRPr="00336CF1" w:rsidRDefault="005000B6" w:rsidP="000A0EA4">
            <w:pPr>
              <w:pStyle w:val="TableText"/>
              <w:rPr>
                <w:sz w:val="24"/>
              </w:rPr>
            </w:pPr>
            <w:r w:rsidRPr="00336CF1">
              <w:t>2</w:t>
            </w:r>
          </w:p>
        </w:tc>
        <w:tc>
          <w:tcPr>
            <w:tcW w:w="2925" w:type="dxa"/>
            <w:tcBorders>
              <w:left w:val="nil"/>
            </w:tcBorders>
          </w:tcPr>
          <w:p w14:paraId="30A9FE5E" w14:textId="77777777" w:rsidR="005000B6" w:rsidRPr="00336CF1" w:rsidRDefault="005000B6" w:rsidP="000A0EA4">
            <w:pPr>
              <w:pStyle w:val="TableText"/>
            </w:pPr>
            <w:r w:rsidRPr="00336CF1">
              <w:t xml:space="preserve">Death in </w:t>
            </w:r>
            <w:r w:rsidR="00F927D2">
              <w:t>L</w:t>
            </w:r>
            <w:r w:rsidRPr="00336CF1">
              <w:t>ow</w:t>
            </w:r>
            <w:r w:rsidR="00F927D2">
              <w:t>-M</w:t>
            </w:r>
            <w:r w:rsidRPr="00336CF1">
              <w:t>ortality D</w:t>
            </w:r>
            <w:r w:rsidR="00F927D2">
              <w:t>iagnosis-</w:t>
            </w:r>
            <w:r w:rsidRPr="00336CF1">
              <w:t>R</w:t>
            </w:r>
            <w:r w:rsidR="00F927D2">
              <w:t xml:space="preserve">elated </w:t>
            </w:r>
            <w:r w:rsidRPr="00336CF1">
              <w:t>G</w:t>
            </w:r>
            <w:r w:rsidR="00F927D2">
              <w:t>roup</w:t>
            </w:r>
            <w:r w:rsidRPr="00336CF1">
              <w:t>s</w:t>
            </w:r>
          </w:p>
        </w:tc>
        <w:tc>
          <w:tcPr>
            <w:tcW w:w="1440" w:type="dxa"/>
            <w:noWrap/>
          </w:tcPr>
          <w:p w14:paraId="30A9FE5F" w14:textId="77777777" w:rsidR="005000B6" w:rsidRPr="00336CF1" w:rsidRDefault="005000B6" w:rsidP="000A0EA4">
            <w:pPr>
              <w:pStyle w:val="TableText"/>
              <w:jc w:val="center"/>
            </w:pPr>
          </w:p>
        </w:tc>
        <w:tc>
          <w:tcPr>
            <w:tcW w:w="4320" w:type="dxa"/>
            <w:noWrap/>
          </w:tcPr>
          <w:p w14:paraId="30A9FE60" w14:textId="77777777" w:rsidR="005000B6" w:rsidRPr="00336CF1" w:rsidRDefault="005000B6" w:rsidP="000A0EA4">
            <w:pPr>
              <w:pStyle w:val="TableText"/>
            </w:pPr>
            <w:r w:rsidRPr="00336CF1">
              <w:t> </w:t>
            </w:r>
          </w:p>
        </w:tc>
        <w:tc>
          <w:tcPr>
            <w:tcW w:w="3780" w:type="dxa"/>
            <w:noWrap/>
          </w:tcPr>
          <w:p w14:paraId="30A9FE61" w14:textId="3720A57F" w:rsidR="005000B6" w:rsidRPr="00336CF1" w:rsidRDefault="005000B6" w:rsidP="000A0EA4">
            <w:pPr>
              <w:pStyle w:val="TableText"/>
            </w:pPr>
            <w:r w:rsidRPr="00336CF1">
              <w:t>Be sure to code chronic or comorbid conditions on the computerized discharge abstracts of patients who die.</w:t>
            </w:r>
            <w:r w:rsidR="00612A3E">
              <w:t xml:space="preserve"> </w:t>
            </w:r>
            <w:r w:rsidRPr="00336CF1">
              <w:t>These codes are needed to accurately measure this PSI.</w:t>
            </w:r>
            <w:r w:rsidR="00612A3E">
              <w:t xml:space="preserve"> </w:t>
            </w:r>
          </w:p>
        </w:tc>
        <w:tc>
          <w:tcPr>
            <w:tcW w:w="1409" w:type="dxa"/>
            <w:noWrap/>
          </w:tcPr>
          <w:p w14:paraId="30A9FE62" w14:textId="77777777" w:rsidR="005000B6" w:rsidRPr="00336CF1" w:rsidRDefault="005000B6" w:rsidP="000A0EA4">
            <w:pPr>
              <w:pStyle w:val="TableText"/>
              <w:jc w:val="center"/>
            </w:pPr>
          </w:p>
        </w:tc>
      </w:tr>
      <w:tr w:rsidR="005000B6" w:rsidRPr="00336CF1" w14:paraId="30A9FE6A" w14:textId="77777777" w:rsidTr="000A0EA4">
        <w:trPr>
          <w:trHeight w:val="20"/>
          <w:jc w:val="center"/>
        </w:trPr>
        <w:tc>
          <w:tcPr>
            <w:tcW w:w="495" w:type="dxa"/>
            <w:tcBorders>
              <w:right w:val="nil"/>
            </w:tcBorders>
          </w:tcPr>
          <w:p w14:paraId="30A9FE64" w14:textId="77777777" w:rsidR="005000B6" w:rsidRPr="00336CF1" w:rsidRDefault="005000B6" w:rsidP="000A0EA4">
            <w:pPr>
              <w:pStyle w:val="TableText"/>
              <w:rPr>
                <w:sz w:val="24"/>
              </w:rPr>
            </w:pPr>
            <w:r w:rsidRPr="00336CF1">
              <w:t>3</w:t>
            </w:r>
          </w:p>
        </w:tc>
        <w:tc>
          <w:tcPr>
            <w:tcW w:w="2925" w:type="dxa"/>
            <w:tcBorders>
              <w:left w:val="nil"/>
            </w:tcBorders>
          </w:tcPr>
          <w:p w14:paraId="30A9FE65" w14:textId="77777777" w:rsidR="005000B6" w:rsidRPr="00336CF1" w:rsidRDefault="005000B6" w:rsidP="000A0EA4">
            <w:pPr>
              <w:pStyle w:val="TableText"/>
            </w:pPr>
            <w:r w:rsidRPr="00336CF1">
              <w:t xml:space="preserve">Pressure </w:t>
            </w:r>
            <w:r w:rsidR="00F927D2">
              <w:t>U</w:t>
            </w:r>
            <w:r w:rsidRPr="00336CF1">
              <w:t>lcer</w:t>
            </w:r>
          </w:p>
        </w:tc>
        <w:tc>
          <w:tcPr>
            <w:tcW w:w="1440" w:type="dxa"/>
            <w:noWrap/>
          </w:tcPr>
          <w:p w14:paraId="30A9FE66" w14:textId="77777777" w:rsidR="005000B6" w:rsidRPr="00336CF1" w:rsidRDefault="005000B6" w:rsidP="000A0EA4">
            <w:pPr>
              <w:pStyle w:val="TableText"/>
              <w:jc w:val="center"/>
            </w:pPr>
            <w:r w:rsidRPr="00336CF1">
              <w:t>X</w:t>
            </w:r>
          </w:p>
        </w:tc>
        <w:tc>
          <w:tcPr>
            <w:tcW w:w="4320" w:type="dxa"/>
            <w:noWrap/>
          </w:tcPr>
          <w:p w14:paraId="30A9FE67" w14:textId="77777777" w:rsidR="005000B6" w:rsidRPr="00336CF1" w:rsidRDefault="005000B6" w:rsidP="000A0EA4">
            <w:pPr>
              <w:pStyle w:val="TableText"/>
            </w:pPr>
            <w:r w:rsidRPr="00336CF1">
              <w:t xml:space="preserve">Important to document the stage </w:t>
            </w:r>
            <w:r w:rsidR="006A4113">
              <w:t xml:space="preserve">and </w:t>
            </w:r>
            <w:r w:rsidR="006A4113">
              <w:lastRenderedPageBreak/>
              <w:t xml:space="preserve">location </w:t>
            </w:r>
            <w:r w:rsidRPr="00336CF1">
              <w:t>of pressure ulcer to properly code it.</w:t>
            </w:r>
          </w:p>
        </w:tc>
        <w:tc>
          <w:tcPr>
            <w:tcW w:w="3780" w:type="dxa"/>
            <w:noWrap/>
          </w:tcPr>
          <w:p w14:paraId="30A9FE68" w14:textId="2CED8606" w:rsidR="005000B6" w:rsidRPr="00336CF1" w:rsidRDefault="006A4113" w:rsidP="000A0EA4">
            <w:pPr>
              <w:pStyle w:val="TableText"/>
            </w:pPr>
            <w:r>
              <w:lastRenderedPageBreak/>
              <w:t xml:space="preserve">Provider documents existence of </w:t>
            </w:r>
            <w:r>
              <w:lastRenderedPageBreak/>
              <w:t>pressure ulcers.</w:t>
            </w:r>
            <w:r w:rsidR="00612A3E">
              <w:t xml:space="preserve"> </w:t>
            </w:r>
            <w:r>
              <w:t>Nurses</w:t>
            </w:r>
            <w:r w:rsidR="00F927D2">
              <w:t>’</w:t>
            </w:r>
            <w:r>
              <w:t xml:space="preserve"> notes can be used to determine staging (Medicare).</w:t>
            </w:r>
          </w:p>
        </w:tc>
        <w:tc>
          <w:tcPr>
            <w:tcW w:w="1409" w:type="dxa"/>
            <w:noWrap/>
          </w:tcPr>
          <w:p w14:paraId="30A9FE69" w14:textId="77777777" w:rsidR="005000B6" w:rsidRPr="00336CF1" w:rsidRDefault="005000B6" w:rsidP="000A0EA4">
            <w:pPr>
              <w:pStyle w:val="TableText"/>
              <w:jc w:val="center"/>
            </w:pPr>
          </w:p>
        </w:tc>
      </w:tr>
      <w:tr w:rsidR="005000B6" w:rsidRPr="00336CF1" w14:paraId="30A9FE71" w14:textId="77777777" w:rsidTr="000A0EA4">
        <w:trPr>
          <w:trHeight w:val="20"/>
          <w:jc w:val="center"/>
        </w:trPr>
        <w:tc>
          <w:tcPr>
            <w:tcW w:w="495" w:type="dxa"/>
            <w:tcBorders>
              <w:right w:val="nil"/>
            </w:tcBorders>
          </w:tcPr>
          <w:p w14:paraId="30A9FE6B" w14:textId="77777777" w:rsidR="005000B6" w:rsidRPr="00336CF1" w:rsidRDefault="005000B6" w:rsidP="000A0EA4">
            <w:pPr>
              <w:pStyle w:val="TableText"/>
              <w:rPr>
                <w:sz w:val="24"/>
              </w:rPr>
            </w:pPr>
            <w:r w:rsidRPr="00336CF1">
              <w:lastRenderedPageBreak/>
              <w:t>6</w:t>
            </w:r>
          </w:p>
        </w:tc>
        <w:tc>
          <w:tcPr>
            <w:tcW w:w="2925" w:type="dxa"/>
            <w:tcBorders>
              <w:left w:val="nil"/>
            </w:tcBorders>
          </w:tcPr>
          <w:p w14:paraId="30A9FE6C" w14:textId="77777777" w:rsidR="005000B6" w:rsidRPr="00336CF1" w:rsidRDefault="005000B6" w:rsidP="000A0EA4">
            <w:pPr>
              <w:pStyle w:val="TableText"/>
            </w:pPr>
            <w:r w:rsidRPr="00336CF1">
              <w:t>Iatrogenic Pneumothorax</w:t>
            </w:r>
          </w:p>
        </w:tc>
        <w:tc>
          <w:tcPr>
            <w:tcW w:w="1440" w:type="dxa"/>
            <w:noWrap/>
          </w:tcPr>
          <w:p w14:paraId="30A9FE6D" w14:textId="77777777" w:rsidR="005000B6" w:rsidRPr="00336CF1" w:rsidRDefault="005000B6" w:rsidP="000A0EA4">
            <w:pPr>
              <w:pStyle w:val="TableText"/>
              <w:jc w:val="center"/>
            </w:pPr>
            <w:r w:rsidRPr="00336CF1">
              <w:t>X</w:t>
            </w:r>
          </w:p>
        </w:tc>
        <w:tc>
          <w:tcPr>
            <w:tcW w:w="4320" w:type="dxa"/>
            <w:noWrap/>
          </w:tcPr>
          <w:p w14:paraId="30A9FE6E" w14:textId="116F3BBD" w:rsidR="005000B6" w:rsidRPr="00336CF1" w:rsidRDefault="005000B6" w:rsidP="000A0EA4">
            <w:pPr>
              <w:pStyle w:val="TableText"/>
            </w:pPr>
            <w:r w:rsidRPr="00336CF1">
              <w:t>Pneumothorax may be an intentional part of a procedure</w:t>
            </w:r>
            <w:r w:rsidR="00F927D2">
              <w:t>;</w:t>
            </w:r>
            <w:r w:rsidRPr="00336CF1">
              <w:t xml:space="preserve"> if so, it should NOT be coded as iatrogenic.</w:t>
            </w:r>
            <w:r w:rsidR="00612A3E">
              <w:t xml:space="preserve"> </w:t>
            </w:r>
          </w:p>
        </w:tc>
        <w:tc>
          <w:tcPr>
            <w:tcW w:w="3780" w:type="dxa"/>
            <w:noWrap/>
          </w:tcPr>
          <w:p w14:paraId="30A9FE6F" w14:textId="77777777" w:rsidR="005000B6" w:rsidRPr="00336CF1" w:rsidRDefault="005000B6" w:rsidP="000A0EA4">
            <w:pPr>
              <w:pStyle w:val="TableText"/>
            </w:pPr>
            <w:r w:rsidRPr="00336CF1">
              <w:t> </w:t>
            </w:r>
          </w:p>
        </w:tc>
        <w:tc>
          <w:tcPr>
            <w:tcW w:w="1409" w:type="dxa"/>
            <w:noWrap/>
          </w:tcPr>
          <w:p w14:paraId="30A9FE70" w14:textId="77777777" w:rsidR="005000B6" w:rsidRPr="00336CF1" w:rsidRDefault="005000B6" w:rsidP="000A0EA4">
            <w:pPr>
              <w:pStyle w:val="TableText"/>
              <w:jc w:val="center"/>
            </w:pPr>
          </w:p>
        </w:tc>
      </w:tr>
      <w:tr w:rsidR="005000B6" w:rsidRPr="00336CF1" w14:paraId="30A9FE7D" w14:textId="77777777" w:rsidTr="000A0EA4">
        <w:trPr>
          <w:trHeight w:val="20"/>
          <w:jc w:val="center"/>
        </w:trPr>
        <w:tc>
          <w:tcPr>
            <w:tcW w:w="495" w:type="dxa"/>
            <w:tcBorders>
              <w:right w:val="nil"/>
            </w:tcBorders>
          </w:tcPr>
          <w:p w14:paraId="30A9FE72" w14:textId="77777777" w:rsidR="005000B6" w:rsidRPr="00336CF1" w:rsidRDefault="005000B6" w:rsidP="000A0EA4">
            <w:pPr>
              <w:pStyle w:val="TableText"/>
              <w:rPr>
                <w:sz w:val="24"/>
              </w:rPr>
            </w:pPr>
            <w:r w:rsidRPr="00336CF1">
              <w:t>7</w:t>
            </w:r>
          </w:p>
        </w:tc>
        <w:tc>
          <w:tcPr>
            <w:tcW w:w="2925" w:type="dxa"/>
            <w:tcBorders>
              <w:left w:val="nil"/>
            </w:tcBorders>
          </w:tcPr>
          <w:p w14:paraId="30A9FE73" w14:textId="77777777" w:rsidR="005000B6" w:rsidRPr="00336CF1" w:rsidRDefault="005000B6" w:rsidP="000A0EA4">
            <w:pPr>
              <w:pStyle w:val="TableText"/>
            </w:pPr>
            <w:r w:rsidRPr="00814168">
              <w:t>Central Venous Catheter-Related Blood</w:t>
            </w:r>
            <w:r w:rsidR="00F927D2">
              <w:t>s</w:t>
            </w:r>
            <w:r w:rsidRPr="00814168">
              <w:t>tream Infections</w:t>
            </w:r>
            <w:r>
              <w:t xml:space="preserve"> (CV-CRBI)</w:t>
            </w:r>
          </w:p>
        </w:tc>
        <w:tc>
          <w:tcPr>
            <w:tcW w:w="1440" w:type="dxa"/>
            <w:noWrap/>
          </w:tcPr>
          <w:p w14:paraId="30A9FE74" w14:textId="77777777" w:rsidR="005000B6" w:rsidRPr="00336CF1" w:rsidRDefault="005000B6" w:rsidP="000A0EA4">
            <w:pPr>
              <w:pStyle w:val="TableText"/>
              <w:jc w:val="center"/>
            </w:pPr>
            <w:r w:rsidRPr="00336CF1">
              <w:t>Identify tunneled catheters that are infected at admission and code as present-on-admission.</w:t>
            </w:r>
          </w:p>
        </w:tc>
        <w:tc>
          <w:tcPr>
            <w:tcW w:w="4320" w:type="dxa"/>
            <w:noWrap/>
          </w:tcPr>
          <w:p w14:paraId="30A9FE75" w14:textId="77777777" w:rsidR="006A4113" w:rsidRDefault="006A4113" w:rsidP="000A0EA4">
            <w:pPr>
              <w:pStyle w:val="TableText"/>
            </w:pPr>
            <w:r>
              <w:t>Peripheral lines may be miscoded as central lines.</w:t>
            </w:r>
          </w:p>
          <w:p w14:paraId="30A9FE76" w14:textId="65FAB7C7" w:rsidR="005000B6" w:rsidRPr="00336CF1" w:rsidRDefault="005000B6" w:rsidP="000A0EA4">
            <w:pPr>
              <w:pStyle w:val="TableText"/>
            </w:pPr>
            <w:r w:rsidRPr="00336CF1">
              <w:t>Thrombophlebitis is phlebitis (an inflammation of the vein) that is accompanied by thrombus formation.</w:t>
            </w:r>
            <w:r w:rsidR="00612A3E">
              <w:t xml:space="preserve"> </w:t>
            </w:r>
            <w:r w:rsidRPr="00336CF1">
              <w:t>The code 999.31 is not the most appropriate code assignment if only phlebitis</w:t>
            </w:r>
            <w:r w:rsidR="00F927D2">
              <w:t>—</w:t>
            </w:r>
            <w:r w:rsidRPr="00336CF1">
              <w:t>and no infectious source</w:t>
            </w:r>
            <w:r w:rsidR="00F927D2">
              <w:t>—</w:t>
            </w:r>
            <w:proofErr w:type="gramStart"/>
            <w:r w:rsidRPr="00336CF1">
              <w:t>is</w:t>
            </w:r>
            <w:proofErr w:type="gramEnd"/>
            <w:r w:rsidRPr="00336CF1">
              <w:t xml:space="preserve"> documented. </w:t>
            </w:r>
          </w:p>
          <w:p w14:paraId="30A9FE77" w14:textId="0730E56F" w:rsidR="005000B6" w:rsidRPr="00336CF1" w:rsidRDefault="005000B6" w:rsidP="000A0EA4">
            <w:pPr>
              <w:pStyle w:val="TableText"/>
            </w:pPr>
            <w:r w:rsidRPr="00336CF1">
              <w:t>When assigning codes through an encoder system, first choose phlebitis/thrombophlebitis due to or resulting from implanted device. Then the system will offer choices:</w:t>
            </w:r>
            <w:r w:rsidR="00612A3E">
              <w:t xml:space="preserve"> </w:t>
            </w:r>
            <w:r w:rsidRPr="00336CF1">
              <w:t>central venous catheter, infected (catheter-related bloodstream infection</w:t>
            </w:r>
            <w:proofErr w:type="gramStart"/>
            <w:r w:rsidRPr="00336CF1">
              <w:t>)(</w:t>
            </w:r>
            <w:proofErr w:type="gramEnd"/>
            <w:r w:rsidRPr="00336CF1">
              <w:t xml:space="preserve">Hickman, PICC, triple lumen), other/unspecified. </w:t>
            </w:r>
          </w:p>
          <w:p w14:paraId="30A9FE78" w14:textId="6B86D9E1" w:rsidR="005000B6" w:rsidRPr="00336CF1" w:rsidRDefault="005000B6" w:rsidP="000A0EA4">
            <w:pPr>
              <w:pStyle w:val="TableText"/>
              <w:numPr>
                <w:ilvl w:val="0"/>
                <w:numId w:val="27"/>
              </w:numPr>
            </w:pPr>
            <w:r w:rsidRPr="00336CF1">
              <w:t>If no bloodstream infection is documented, choose other/unspecified, which assign</w:t>
            </w:r>
            <w:r w:rsidR="00FF6D8B">
              <w:t>s</w:t>
            </w:r>
            <w:r w:rsidRPr="00336CF1">
              <w:t xml:space="preserve"> </w:t>
            </w:r>
            <w:r w:rsidR="00FF6D8B">
              <w:t xml:space="preserve">code </w:t>
            </w:r>
            <w:r w:rsidRPr="00336CF1">
              <w:t>996.62.</w:t>
            </w:r>
            <w:r w:rsidR="00612A3E">
              <w:t xml:space="preserve"> </w:t>
            </w:r>
          </w:p>
          <w:p w14:paraId="30A9FE79" w14:textId="77777777" w:rsidR="005000B6" w:rsidRPr="00336CF1" w:rsidRDefault="005000B6" w:rsidP="000A0EA4">
            <w:pPr>
              <w:pStyle w:val="TableText"/>
              <w:numPr>
                <w:ilvl w:val="0"/>
                <w:numId w:val="27"/>
              </w:numPr>
            </w:pPr>
            <w:r w:rsidRPr="00336CF1">
              <w:t>If there is documentation of infection, choose central venous catheter, infection, which assign</w:t>
            </w:r>
            <w:r w:rsidR="00FF6D8B">
              <w:t>s</w:t>
            </w:r>
            <w:r w:rsidRPr="00336CF1">
              <w:t xml:space="preserve"> </w:t>
            </w:r>
            <w:r w:rsidR="00FF6D8B">
              <w:t xml:space="preserve">code </w:t>
            </w:r>
            <w:r w:rsidRPr="00336CF1">
              <w:t xml:space="preserve">999.31 (UHC Documentation Guide, </w:t>
            </w:r>
            <w:r w:rsidRPr="00814168">
              <w:t>Central Venous Catheter-Related Blood</w:t>
            </w:r>
            <w:r w:rsidR="00FF6D8B">
              <w:t>s</w:t>
            </w:r>
            <w:r w:rsidRPr="00814168">
              <w:t>tream Infections</w:t>
            </w:r>
            <w:r w:rsidRPr="00336CF1">
              <w:t>)</w:t>
            </w:r>
          </w:p>
          <w:p w14:paraId="30A9FE7A" w14:textId="77777777" w:rsidR="005000B6" w:rsidRPr="00336CF1" w:rsidRDefault="00FF6D8B" w:rsidP="000A0EA4">
            <w:pPr>
              <w:pStyle w:val="TableText"/>
            </w:pPr>
            <w:r>
              <w:t>CV-CRBIs</w:t>
            </w:r>
            <w:r w:rsidR="005000B6" w:rsidRPr="00336CF1">
              <w:t xml:space="preserve"> or tunneled catheters that are infected at admission should be coded as present on admission (Romano, 2010).</w:t>
            </w:r>
            <w:r w:rsidR="006A4113">
              <w:t xml:space="preserve"> </w:t>
            </w:r>
          </w:p>
        </w:tc>
        <w:tc>
          <w:tcPr>
            <w:tcW w:w="3780" w:type="dxa"/>
            <w:noWrap/>
          </w:tcPr>
          <w:p w14:paraId="30A9FE7B" w14:textId="77777777" w:rsidR="005000B6" w:rsidRPr="00336CF1" w:rsidRDefault="005000B6" w:rsidP="000A0EA4">
            <w:pPr>
              <w:pStyle w:val="TableText"/>
            </w:pPr>
          </w:p>
        </w:tc>
        <w:tc>
          <w:tcPr>
            <w:tcW w:w="1409" w:type="dxa"/>
            <w:noWrap/>
          </w:tcPr>
          <w:p w14:paraId="30A9FE7C" w14:textId="77777777" w:rsidR="005000B6" w:rsidRPr="00336CF1" w:rsidRDefault="005000B6" w:rsidP="000A0EA4">
            <w:pPr>
              <w:pStyle w:val="TableText"/>
              <w:jc w:val="center"/>
            </w:pPr>
          </w:p>
        </w:tc>
      </w:tr>
      <w:tr w:rsidR="005000B6" w:rsidRPr="00336CF1" w14:paraId="30A9FE86" w14:textId="77777777" w:rsidTr="000A0EA4">
        <w:trPr>
          <w:trHeight w:val="20"/>
          <w:jc w:val="center"/>
        </w:trPr>
        <w:tc>
          <w:tcPr>
            <w:tcW w:w="495" w:type="dxa"/>
            <w:tcBorders>
              <w:right w:val="nil"/>
            </w:tcBorders>
          </w:tcPr>
          <w:p w14:paraId="30A9FE7E" w14:textId="77777777" w:rsidR="005000B6" w:rsidRPr="00336CF1" w:rsidRDefault="005000B6" w:rsidP="000A0EA4">
            <w:pPr>
              <w:pStyle w:val="TableText"/>
              <w:rPr>
                <w:sz w:val="24"/>
              </w:rPr>
            </w:pPr>
            <w:r w:rsidRPr="00336CF1">
              <w:lastRenderedPageBreak/>
              <w:t>15</w:t>
            </w:r>
          </w:p>
        </w:tc>
        <w:tc>
          <w:tcPr>
            <w:tcW w:w="2925" w:type="dxa"/>
            <w:tcBorders>
              <w:left w:val="nil"/>
            </w:tcBorders>
          </w:tcPr>
          <w:p w14:paraId="30A9FE7F" w14:textId="77777777" w:rsidR="005000B6" w:rsidRPr="00336CF1" w:rsidRDefault="005000B6" w:rsidP="000A0EA4">
            <w:pPr>
              <w:pStyle w:val="TableText"/>
            </w:pPr>
            <w:r w:rsidRPr="00336CF1">
              <w:t xml:space="preserve">Accidental Puncture </w:t>
            </w:r>
            <w:r w:rsidR="00FF6D8B">
              <w:t>or</w:t>
            </w:r>
            <w:r w:rsidRPr="00336CF1">
              <w:t xml:space="preserve"> Laceration</w:t>
            </w:r>
          </w:p>
        </w:tc>
        <w:tc>
          <w:tcPr>
            <w:tcW w:w="1440" w:type="dxa"/>
            <w:noWrap/>
          </w:tcPr>
          <w:p w14:paraId="30A9FE80" w14:textId="77777777" w:rsidR="005000B6" w:rsidRPr="00336CF1" w:rsidRDefault="005000B6" w:rsidP="000A0EA4">
            <w:pPr>
              <w:pStyle w:val="TableText"/>
              <w:jc w:val="center"/>
            </w:pPr>
            <w:r w:rsidRPr="00336CF1">
              <w:t>X</w:t>
            </w:r>
          </w:p>
        </w:tc>
        <w:tc>
          <w:tcPr>
            <w:tcW w:w="4320" w:type="dxa"/>
            <w:noWrap/>
          </w:tcPr>
          <w:p w14:paraId="30A9FE81" w14:textId="4B8E5520" w:rsidR="005000B6" w:rsidRPr="00336CF1" w:rsidRDefault="005000B6" w:rsidP="000A0EA4">
            <w:pPr>
              <w:pStyle w:val="TableText"/>
            </w:pPr>
            <w:r w:rsidRPr="00336CF1">
              <w:t>If laceration of plaque is the reason for surgery, do not code it as accidental.</w:t>
            </w:r>
            <w:r w:rsidR="00612A3E">
              <w:t xml:space="preserve"> </w:t>
            </w:r>
            <w:r w:rsidRPr="00336CF1">
              <w:t>Chart reviews have found cases incorrectly coded as PSI that were actually due to normal operative conduct, complication other than accidental puncture and laceration (bleeding, infection, dislodgement of a gastronomy tube, or fracture), or disease-related lesion.</w:t>
            </w:r>
          </w:p>
        </w:tc>
        <w:tc>
          <w:tcPr>
            <w:tcW w:w="3780" w:type="dxa"/>
            <w:noWrap/>
          </w:tcPr>
          <w:p w14:paraId="30A9FE82" w14:textId="77777777" w:rsidR="005000B6" w:rsidRPr="00336CF1" w:rsidRDefault="005000B6" w:rsidP="000A0EA4">
            <w:pPr>
              <w:pStyle w:val="TableText"/>
            </w:pPr>
            <w:r w:rsidRPr="00336CF1">
              <w:t>Tears incorrectly coded as lacerations</w:t>
            </w:r>
            <w:r w:rsidR="007D2ED0">
              <w:t>.</w:t>
            </w:r>
          </w:p>
          <w:p w14:paraId="30A9FE83" w14:textId="77777777" w:rsidR="005000B6" w:rsidRPr="00336CF1" w:rsidRDefault="005000B6" w:rsidP="000A0EA4">
            <w:pPr>
              <w:pStyle w:val="TableText"/>
            </w:pPr>
            <w:r w:rsidRPr="00336CF1">
              <w:t xml:space="preserve">Occasionally, intraoperative bleeding or other routine events are </w:t>
            </w:r>
            <w:proofErr w:type="spellStart"/>
            <w:r w:rsidRPr="00336CF1">
              <w:t>overcoded</w:t>
            </w:r>
            <w:proofErr w:type="spellEnd"/>
            <w:r w:rsidRPr="00336CF1">
              <w:t xml:space="preserve"> as accidental puncture or laceration (Romano</w:t>
            </w:r>
            <w:r w:rsidR="00FF6D8B">
              <w:t>,</w:t>
            </w:r>
            <w:r w:rsidRPr="00336CF1">
              <w:t xml:space="preserve"> 2010).</w:t>
            </w:r>
          </w:p>
          <w:p w14:paraId="30A9FE84" w14:textId="6372DEC9" w:rsidR="005000B6" w:rsidRPr="00336CF1" w:rsidRDefault="005000B6" w:rsidP="000A0EA4">
            <w:pPr>
              <w:pStyle w:val="TableText"/>
            </w:pPr>
            <w:r w:rsidRPr="00336CF1">
              <w:t xml:space="preserve">Clarify whether </w:t>
            </w:r>
            <w:r>
              <w:t>lacerations</w:t>
            </w:r>
            <w:r w:rsidRPr="00336CF1">
              <w:t xml:space="preserve"> are part of a procedure or are accidental.</w:t>
            </w:r>
            <w:r w:rsidR="00612A3E">
              <w:t xml:space="preserve"> </w:t>
            </w:r>
          </w:p>
        </w:tc>
        <w:tc>
          <w:tcPr>
            <w:tcW w:w="1409" w:type="dxa"/>
            <w:noWrap/>
          </w:tcPr>
          <w:p w14:paraId="30A9FE85" w14:textId="77777777" w:rsidR="005000B6" w:rsidRPr="00336CF1" w:rsidRDefault="005000B6" w:rsidP="000A0EA4">
            <w:pPr>
              <w:pStyle w:val="TableText"/>
              <w:jc w:val="center"/>
            </w:pPr>
          </w:p>
        </w:tc>
      </w:tr>
      <w:tr w:rsidR="005000B6" w:rsidRPr="00336CF1" w14:paraId="30A9FE8D" w14:textId="77777777" w:rsidTr="000A0EA4">
        <w:trPr>
          <w:trHeight w:val="20"/>
          <w:jc w:val="center"/>
        </w:trPr>
        <w:tc>
          <w:tcPr>
            <w:tcW w:w="495" w:type="dxa"/>
            <w:tcBorders>
              <w:right w:val="nil"/>
            </w:tcBorders>
          </w:tcPr>
          <w:p w14:paraId="30A9FE87" w14:textId="77777777" w:rsidR="005000B6" w:rsidRPr="00336CF1" w:rsidRDefault="005000B6" w:rsidP="000A0EA4">
            <w:pPr>
              <w:pStyle w:val="TableText"/>
              <w:rPr>
                <w:sz w:val="24"/>
              </w:rPr>
            </w:pPr>
            <w:r w:rsidRPr="00336CF1">
              <w:t>16</w:t>
            </w:r>
          </w:p>
        </w:tc>
        <w:tc>
          <w:tcPr>
            <w:tcW w:w="2925" w:type="dxa"/>
            <w:tcBorders>
              <w:left w:val="nil"/>
            </w:tcBorders>
          </w:tcPr>
          <w:p w14:paraId="30A9FE88" w14:textId="77777777" w:rsidR="005000B6" w:rsidRPr="00336CF1" w:rsidRDefault="005000B6" w:rsidP="000A0EA4">
            <w:pPr>
              <w:pStyle w:val="TableText"/>
            </w:pPr>
            <w:r w:rsidRPr="00336CF1">
              <w:t>Transfusion Reaction</w:t>
            </w:r>
          </w:p>
        </w:tc>
        <w:tc>
          <w:tcPr>
            <w:tcW w:w="1440" w:type="dxa"/>
            <w:noWrap/>
          </w:tcPr>
          <w:p w14:paraId="30A9FE89" w14:textId="77777777" w:rsidR="005000B6" w:rsidRPr="00336CF1" w:rsidRDefault="005000B6" w:rsidP="000A0EA4">
            <w:pPr>
              <w:pStyle w:val="TableText"/>
              <w:jc w:val="center"/>
            </w:pPr>
            <w:r w:rsidRPr="00336CF1">
              <w:t>X</w:t>
            </w:r>
          </w:p>
        </w:tc>
        <w:tc>
          <w:tcPr>
            <w:tcW w:w="4320" w:type="dxa"/>
            <w:noWrap/>
          </w:tcPr>
          <w:p w14:paraId="30A9FE8A" w14:textId="77777777" w:rsidR="005000B6" w:rsidRPr="00336CF1" w:rsidRDefault="005000B6" w:rsidP="000A0EA4">
            <w:pPr>
              <w:pStyle w:val="TableText"/>
            </w:pPr>
          </w:p>
        </w:tc>
        <w:tc>
          <w:tcPr>
            <w:tcW w:w="3780" w:type="dxa"/>
            <w:noWrap/>
          </w:tcPr>
          <w:p w14:paraId="30A9FE8B" w14:textId="77777777" w:rsidR="005000B6" w:rsidRPr="00336CF1" w:rsidRDefault="005000B6" w:rsidP="000A0EA4">
            <w:pPr>
              <w:pStyle w:val="TableText"/>
            </w:pPr>
          </w:p>
        </w:tc>
        <w:tc>
          <w:tcPr>
            <w:tcW w:w="1409" w:type="dxa"/>
            <w:noWrap/>
          </w:tcPr>
          <w:p w14:paraId="30A9FE8C" w14:textId="77777777" w:rsidR="005000B6" w:rsidRPr="00336CF1" w:rsidRDefault="005000B6" w:rsidP="000A0EA4">
            <w:pPr>
              <w:pStyle w:val="TableText"/>
              <w:jc w:val="center"/>
            </w:pPr>
          </w:p>
        </w:tc>
      </w:tr>
      <w:tr w:rsidR="005000B6" w:rsidRPr="00336CF1" w14:paraId="30A9FE93" w14:textId="77777777" w:rsidTr="000A0EA4">
        <w:trPr>
          <w:trHeight w:val="20"/>
          <w:jc w:val="center"/>
        </w:trPr>
        <w:tc>
          <w:tcPr>
            <w:tcW w:w="3420" w:type="dxa"/>
            <w:gridSpan w:val="2"/>
            <w:tcBorders>
              <w:right w:val="nil"/>
            </w:tcBorders>
          </w:tcPr>
          <w:p w14:paraId="30A9FE8E" w14:textId="77777777" w:rsidR="005000B6" w:rsidRPr="000A0EA4" w:rsidRDefault="005000B6" w:rsidP="000A0EA4">
            <w:pPr>
              <w:pStyle w:val="TableText"/>
              <w:rPr>
                <w:b/>
              </w:rPr>
            </w:pPr>
            <w:r w:rsidRPr="000A0EA4">
              <w:rPr>
                <w:b/>
              </w:rPr>
              <w:t>Obstetric PSIs</w:t>
            </w:r>
          </w:p>
        </w:tc>
        <w:tc>
          <w:tcPr>
            <w:tcW w:w="1440" w:type="dxa"/>
            <w:tcBorders>
              <w:left w:val="nil"/>
              <w:right w:val="nil"/>
            </w:tcBorders>
            <w:noWrap/>
          </w:tcPr>
          <w:p w14:paraId="30A9FE8F" w14:textId="77777777" w:rsidR="005000B6" w:rsidRPr="00336CF1" w:rsidRDefault="005000B6" w:rsidP="000A0EA4">
            <w:pPr>
              <w:pStyle w:val="TableText"/>
              <w:jc w:val="center"/>
            </w:pPr>
          </w:p>
        </w:tc>
        <w:tc>
          <w:tcPr>
            <w:tcW w:w="4320" w:type="dxa"/>
            <w:tcBorders>
              <w:left w:val="nil"/>
              <w:right w:val="nil"/>
            </w:tcBorders>
            <w:noWrap/>
          </w:tcPr>
          <w:p w14:paraId="30A9FE90" w14:textId="77777777" w:rsidR="005000B6" w:rsidRPr="00336CF1" w:rsidRDefault="005000B6" w:rsidP="000A0EA4">
            <w:pPr>
              <w:pStyle w:val="TableText"/>
            </w:pPr>
          </w:p>
        </w:tc>
        <w:tc>
          <w:tcPr>
            <w:tcW w:w="3780" w:type="dxa"/>
            <w:tcBorders>
              <w:left w:val="nil"/>
              <w:right w:val="nil"/>
            </w:tcBorders>
            <w:noWrap/>
          </w:tcPr>
          <w:p w14:paraId="30A9FE91" w14:textId="77777777" w:rsidR="005000B6" w:rsidRPr="00336CF1" w:rsidRDefault="005000B6" w:rsidP="000A0EA4">
            <w:pPr>
              <w:pStyle w:val="TableText"/>
            </w:pPr>
          </w:p>
        </w:tc>
        <w:tc>
          <w:tcPr>
            <w:tcW w:w="1409" w:type="dxa"/>
            <w:tcBorders>
              <w:left w:val="nil"/>
            </w:tcBorders>
            <w:noWrap/>
          </w:tcPr>
          <w:p w14:paraId="30A9FE92" w14:textId="77777777" w:rsidR="005000B6" w:rsidRPr="00336CF1" w:rsidRDefault="005000B6" w:rsidP="000A0EA4">
            <w:pPr>
              <w:pStyle w:val="TableText"/>
              <w:jc w:val="center"/>
            </w:pPr>
          </w:p>
        </w:tc>
      </w:tr>
      <w:tr w:rsidR="005000B6" w:rsidRPr="00336CF1" w14:paraId="30A9FE9D" w14:textId="77777777" w:rsidTr="000A0EA4">
        <w:trPr>
          <w:trHeight w:val="20"/>
          <w:jc w:val="center"/>
        </w:trPr>
        <w:tc>
          <w:tcPr>
            <w:tcW w:w="495" w:type="dxa"/>
            <w:tcBorders>
              <w:right w:val="nil"/>
            </w:tcBorders>
          </w:tcPr>
          <w:p w14:paraId="30A9FE94" w14:textId="633F6698" w:rsidR="005000B6" w:rsidRPr="00336CF1" w:rsidRDefault="005000B6" w:rsidP="000A0EA4">
            <w:pPr>
              <w:pStyle w:val="TableText"/>
              <w:rPr>
                <w:sz w:val="24"/>
              </w:rPr>
            </w:pPr>
            <w:r>
              <w:t>18</w:t>
            </w:r>
            <w:r w:rsidR="00612A3E">
              <w:t xml:space="preserve"> </w:t>
            </w:r>
            <w:r w:rsidRPr="00336CF1">
              <w:t>19</w:t>
            </w:r>
          </w:p>
        </w:tc>
        <w:tc>
          <w:tcPr>
            <w:tcW w:w="2925" w:type="dxa"/>
            <w:tcBorders>
              <w:left w:val="nil"/>
            </w:tcBorders>
          </w:tcPr>
          <w:p w14:paraId="30A9FE95" w14:textId="77777777" w:rsidR="005000B6" w:rsidRPr="00336CF1" w:rsidRDefault="005000B6" w:rsidP="000A0EA4">
            <w:pPr>
              <w:pStyle w:val="TableText"/>
            </w:pPr>
            <w:r w:rsidRPr="00336CF1">
              <w:t xml:space="preserve">OB </w:t>
            </w:r>
            <w:r w:rsidR="00FF6D8B">
              <w:t>T</w:t>
            </w:r>
            <w:r w:rsidRPr="00336CF1">
              <w:t xml:space="preserve">rauma - </w:t>
            </w:r>
            <w:r w:rsidR="00FF6D8B">
              <w:t>With</w:t>
            </w:r>
            <w:r w:rsidRPr="00336CF1">
              <w:t xml:space="preserve"> </w:t>
            </w:r>
            <w:r w:rsidR="00FF6D8B">
              <w:t>I</w:t>
            </w:r>
            <w:r w:rsidRPr="00336CF1">
              <w:t>nstrument</w:t>
            </w:r>
          </w:p>
          <w:p w14:paraId="30A9FE96" w14:textId="77777777" w:rsidR="005000B6" w:rsidRPr="00336CF1" w:rsidRDefault="005000B6" w:rsidP="000A0EA4">
            <w:pPr>
              <w:pStyle w:val="TableText"/>
            </w:pPr>
            <w:r w:rsidRPr="00336CF1">
              <w:t xml:space="preserve">OB </w:t>
            </w:r>
            <w:r w:rsidR="00FF6D8B">
              <w:t>T</w:t>
            </w:r>
            <w:r w:rsidRPr="00336CF1">
              <w:t xml:space="preserve">rauma - </w:t>
            </w:r>
            <w:r w:rsidR="00FF6D8B">
              <w:t>Without</w:t>
            </w:r>
            <w:r w:rsidRPr="00336CF1">
              <w:t xml:space="preserve"> </w:t>
            </w:r>
            <w:r w:rsidR="00FF6D8B">
              <w:t>I</w:t>
            </w:r>
            <w:r w:rsidRPr="00336CF1">
              <w:t>nstrument</w:t>
            </w:r>
          </w:p>
        </w:tc>
        <w:tc>
          <w:tcPr>
            <w:tcW w:w="1440" w:type="dxa"/>
            <w:noWrap/>
          </w:tcPr>
          <w:p w14:paraId="30A9FE97" w14:textId="77777777" w:rsidR="005000B6" w:rsidRPr="00336CF1" w:rsidRDefault="005000B6" w:rsidP="000A0EA4">
            <w:pPr>
              <w:pStyle w:val="TableText"/>
              <w:jc w:val="center"/>
            </w:pPr>
          </w:p>
        </w:tc>
        <w:tc>
          <w:tcPr>
            <w:tcW w:w="4320" w:type="dxa"/>
            <w:noWrap/>
          </w:tcPr>
          <w:p w14:paraId="30A9FE98" w14:textId="77777777" w:rsidR="005000B6" w:rsidRPr="00336CF1" w:rsidRDefault="005000B6" w:rsidP="000A0EA4">
            <w:pPr>
              <w:pStyle w:val="TableText"/>
            </w:pPr>
            <w:r w:rsidRPr="00336CF1">
              <w:t>To code the PSIs correctly:</w:t>
            </w:r>
          </w:p>
          <w:p w14:paraId="30A9FE99" w14:textId="77777777" w:rsidR="005000B6" w:rsidRPr="00336CF1" w:rsidRDefault="005000B6" w:rsidP="000A0EA4">
            <w:pPr>
              <w:pStyle w:val="TableText"/>
              <w:numPr>
                <w:ilvl w:val="0"/>
                <w:numId w:val="28"/>
              </w:numPr>
            </w:pPr>
            <w:r w:rsidRPr="00336CF1">
              <w:t>Be sure the coding distinguishes accurately between no injury, first degree, and second degree injury</w:t>
            </w:r>
            <w:r w:rsidR="00FF6D8B">
              <w:t>.</w:t>
            </w:r>
          </w:p>
          <w:p w14:paraId="30A9FE9A" w14:textId="77777777" w:rsidR="005000B6" w:rsidRPr="00336CF1" w:rsidRDefault="005000B6" w:rsidP="000A0EA4">
            <w:pPr>
              <w:pStyle w:val="TableText"/>
              <w:numPr>
                <w:ilvl w:val="0"/>
                <w:numId w:val="28"/>
              </w:numPr>
            </w:pPr>
            <w:r w:rsidRPr="00336CF1">
              <w:t xml:space="preserve">Be sure that a coded delivery diagnosis is accompanied by codes for delivery procedure and outcome. </w:t>
            </w:r>
          </w:p>
        </w:tc>
        <w:tc>
          <w:tcPr>
            <w:tcW w:w="3780" w:type="dxa"/>
            <w:noWrap/>
          </w:tcPr>
          <w:p w14:paraId="30A9FE9B" w14:textId="77777777" w:rsidR="005000B6" w:rsidRPr="00336CF1" w:rsidRDefault="005000B6" w:rsidP="000A0EA4">
            <w:pPr>
              <w:pStyle w:val="TableText"/>
            </w:pPr>
            <w:r w:rsidRPr="00336CF1">
              <w:t>As coding intensity of delivery comorbidities and complications increase</w:t>
            </w:r>
            <w:r w:rsidR="00FF6D8B">
              <w:t>s</w:t>
            </w:r>
            <w:r w:rsidRPr="00336CF1">
              <w:t>, so do</w:t>
            </w:r>
            <w:r w:rsidR="00FF6D8B">
              <w:t>es</w:t>
            </w:r>
            <w:r w:rsidRPr="00336CF1">
              <w:t xml:space="preserve"> the number of identified PSI cases (</w:t>
            </w:r>
            <w:proofErr w:type="spellStart"/>
            <w:r w:rsidRPr="00336CF1">
              <w:t>Grobman</w:t>
            </w:r>
            <w:proofErr w:type="spellEnd"/>
            <w:r w:rsidR="00FF6D8B">
              <w:t>,</w:t>
            </w:r>
            <w:r w:rsidRPr="00336CF1">
              <w:t xml:space="preserve"> </w:t>
            </w:r>
            <w:r w:rsidR="00FF6D8B">
              <w:t xml:space="preserve">et al., </w:t>
            </w:r>
            <w:proofErr w:type="gramStart"/>
            <w:r w:rsidRPr="00336CF1">
              <w:t>2006</w:t>
            </w:r>
            <w:proofErr w:type="gramEnd"/>
            <w:r w:rsidRPr="00336CF1">
              <w:t>)</w:t>
            </w:r>
            <w:r w:rsidR="00FF6D8B">
              <w:t>.</w:t>
            </w:r>
          </w:p>
        </w:tc>
        <w:tc>
          <w:tcPr>
            <w:tcW w:w="1409" w:type="dxa"/>
            <w:noWrap/>
          </w:tcPr>
          <w:p w14:paraId="30A9FE9C" w14:textId="77777777" w:rsidR="005000B6" w:rsidRPr="00336CF1" w:rsidRDefault="005000B6" w:rsidP="000A0EA4">
            <w:pPr>
              <w:pStyle w:val="TableText"/>
              <w:jc w:val="center"/>
            </w:pPr>
          </w:p>
        </w:tc>
      </w:tr>
    </w:tbl>
    <w:p w14:paraId="30A9FE9E" w14:textId="77777777" w:rsidR="005000B6" w:rsidRDefault="005000B6" w:rsidP="000A0EA4">
      <w:pPr>
        <w:pStyle w:val="TableText"/>
      </w:pPr>
    </w:p>
    <w:p w14:paraId="30A9FE9F" w14:textId="77777777" w:rsidR="005000B6" w:rsidRPr="00467DAC" w:rsidRDefault="005000B6" w:rsidP="000A0EA4">
      <w:pPr>
        <w:pStyle w:val="TableText"/>
      </w:pPr>
    </w:p>
    <w:sectPr w:rsidR="005000B6" w:rsidRPr="00467DAC" w:rsidSect="00F36F64">
      <w:headerReference w:type="default" r:id="rId32"/>
      <w:footerReference w:type="default" r:id="rId33"/>
      <w:pgSz w:w="15840" w:h="12240" w:orient="landscape"/>
      <w:pgMar w:top="1296" w:right="720" w:bottom="129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EAE51" w14:textId="77777777" w:rsidR="00703A0D" w:rsidRDefault="00703A0D" w:rsidP="00B160B1">
      <w:pPr>
        <w:spacing w:after="0"/>
      </w:pPr>
      <w:r>
        <w:separator/>
      </w:r>
    </w:p>
  </w:endnote>
  <w:endnote w:type="continuationSeparator" w:id="0">
    <w:p w14:paraId="0016DF4F" w14:textId="77777777" w:rsidR="00703A0D" w:rsidRDefault="00703A0D" w:rsidP="00B160B1">
      <w:pPr>
        <w:spacing w:after="0"/>
      </w:pPr>
      <w:r>
        <w:continuationSeparator/>
      </w:r>
    </w:p>
  </w:endnote>
  <w:endnote w:type="continuationNotice" w:id="1">
    <w:p w14:paraId="6BD5973F" w14:textId="77777777" w:rsidR="00703A0D" w:rsidRDefault="00703A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8" w14:textId="77777777" w:rsidR="0050389A" w:rsidRPr="000A0EA4" w:rsidRDefault="0050389A" w:rsidP="000A0EA4">
    <w:pPr>
      <w:pStyle w:val="Footer"/>
      <w:jc w:val="right"/>
      <w:rPr>
        <w:rFonts w:ascii="Arial" w:hAnsi="Arial"/>
        <w:sz w:val="16"/>
        <w:szCs w:val="16"/>
      </w:rPr>
    </w:pPr>
    <w:r w:rsidRPr="004B3D7E">
      <w:rPr>
        <w:sz w:val="16"/>
        <w:szCs w:val="16"/>
      </w:rPr>
      <w:tab/>
    </w:r>
    <w:r w:rsidRPr="000A0EA4">
      <w:rPr>
        <w:rFonts w:ascii="Arial" w:hAnsi="Arial"/>
        <w:sz w:val="16"/>
        <w:szCs w:val="16"/>
      </w:rPr>
      <w:fldChar w:fldCharType="begin"/>
    </w:r>
    <w:r w:rsidRPr="000A0EA4">
      <w:rPr>
        <w:rFonts w:ascii="Arial" w:hAnsi="Arial"/>
        <w:sz w:val="16"/>
        <w:szCs w:val="16"/>
      </w:rPr>
      <w:instrText xml:space="preserve"> PAGE   \* MERGEFORMAT </w:instrText>
    </w:r>
    <w:r w:rsidRPr="000A0EA4">
      <w:rPr>
        <w:rFonts w:ascii="Arial" w:hAnsi="Arial"/>
        <w:sz w:val="16"/>
        <w:szCs w:val="16"/>
      </w:rPr>
      <w:fldChar w:fldCharType="separate"/>
    </w:r>
    <w:r w:rsidR="00660E4A">
      <w:rPr>
        <w:rFonts w:ascii="Arial" w:hAnsi="Arial"/>
        <w:noProof/>
        <w:sz w:val="16"/>
        <w:szCs w:val="16"/>
      </w:rPr>
      <w:t>2</w:t>
    </w:r>
    <w:r w:rsidRPr="000A0EA4">
      <w:rPr>
        <w:rFonts w:ascii="Arial" w:hAnsi="Arial"/>
        <w:sz w:val="16"/>
        <w:szCs w:val="16"/>
      </w:rPr>
      <w:fldChar w:fldCharType="end"/>
    </w:r>
    <w:r>
      <w:rPr>
        <w:sz w:val="16"/>
        <w:szCs w:val="16"/>
      </w:rPr>
      <w:tab/>
    </w:r>
    <w:r w:rsidRPr="000A0EA4">
      <w:rPr>
        <w:rFonts w:ascii="Arial" w:hAnsi="Arial"/>
        <w:sz w:val="16"/>
        <w:szCs w:val="16"/>
      </w:rPr>
      <w:t>Tool B.4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A" w14:textId="77777777" w:rsidR="0050389A" w:rsidRDefault="0050389A" w:rsidP="000A0EA4">
    <w:pPr>
      <w:pStyle w:val="Footer"/>
      <w:jc w:val="right"/>
    </w:pPr>
    <w:r w:rsidRPr="000A0EA4">
      <w:rPr>
        <w:rFonts w:ascii="Arial" w:hAnsi="Arial"/>
        <w:sz w:val="16"/>
        <w:szCs w:val="16"/>
      </w:rPr>
      <w:t>Tool B.4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B" w14:textId="77777777" w:rsidR="0050389A" w:rsidRDefault="0050389A" w:rsidP="000A0EA4">
    <w:pPr>
      <w:pStyle w:val="Footer"/>
      <w:jc w:val="right"/>
    </w:pPr>
    <w:r w:rsidRPr="004B3D7E">
      <w:rPr>
        <w:sz w:val="16"/>
        <w:szCs w:val="16"/>
      </w:rPr>
      <w:tab/>
    </w:r>
    <w:r w:rsidRPr="000A0EA4">
      <w:rPr>
        <w:rFonts w:ascii="Arial" w:hAnsi="Arial"/>
        <w:sz w:val="16"/>
        <w:szCs w:val="16"/>
      </w:rPr>
      <w:fldChar w:fldCharType="begin"/>
    </w:r>
    <w:r w:rsidRPr="000A0EA4">
      <w:rPr>
        <w:rFonts w:ascii="Arial" w:hAnsi="Arial"/>
        <w:sz w:val="16"/>
        <w:szCs w:val="16"/>
      </w:rPr>
      <w:instrText xml:space="preserve"> PAGE   \* MERGEFORMAT </w:instrText>
    </w:r>
    <w:r w:rsidRPr="000A0EA4">
      <w:rPr>
        <w:rFonts w:ascii="Arial" w:hAnsi="Arial"/>
        <w:sz w:val="16"/>
        <w:szCs w:val="16"/>
      </w:rPr>
      <w:fldChar w:fldCharType="separate"/>
    </w:r>
    <w:r w:rsidR="00660E4A">
      <w:rPr>
        <w:rFonts w:ascii="Arial" w:hAnsi="Arial"/>
        <w:noProof/>
        <w:sz w:val="16"/>
        <w:szCs w:val="16"/>
      </w:rPr>
      <w:t>1</w:t>
    </w:r>
    <w:r w:rsidRPr="000A0EA4">
      <w:rPr>
        <w:rFonts w:ascii="Arial" w:hAnsi="Arial"/>
        <w:sz w:val="16"/>
        <w:szCs w:val="16"/>
      </w:rPr>
      <w:fldChar w:fldCharType="end"/>
    </w:r>
    <w:r>
      <w:rPr>
        <w:sz w:val="16"/>
        <w:szCs w:val="16"/>
      </w:rPr>
      <w:tab/>
    </w:r>
    <w:r w:rsidRPr="000A0EA4">
      <w:rPr>
        <w:rFonts w:ascii="Arial" w:hAnsi="Arial"/>
        <w:sz w:val="16"/>
        <w:szCs w:val="16"/>
      </w:rPr>
      <w:t>Tool B.4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E" w14:textId="77777777" w:rsidR="0050389A" w:rsidRPr="000A0EA4" w:rsidRDefault="0050389A" w:rsidP="00AA4CD5">
    <w:pPr>
      <w:pStyle w:val="Footer"/>
      <w:tabs>
        <w:tab w:val="clear" w:pos="4680"/>
        <w:tab w:val="clear" w:pos="9360"/>
        <w:tab w:val="center" w:pos="7200"/>
        <w:tab w:val="right" w:pos="13680"/>
      </w:tabs>
      <w:ind w:left="180"/>
      <w:rPr>
        <w:rFonts w:ascii="Arial" w:hAnsi="Arial"/>
        <w:sz w:val="16"/>
        <w:szCs w:val="16"/>
      </w:rPr>
    </w:pPr>
    <w:r w:rsidRPr="004B3D7E">
      <w:rPr>
        <w:sz w:val="16"/>
        <w:szCs w:val="16"/>
      </w:rPr>
      <w:tab/>
    </w:r>
    <w:r w:rsidRPr="000A0EA4">
      <w:rPr>
        <w:rFonts w:ascii="Arial" w:hAnsi="Arial"/>
        <w:sz w:val="16"/>
        <w:szCs w:val="16"/>
      </w:rPr>
      <w:fldChar w:fldCharType="begin"/>
    </w:r>
    <w:r w:rsidRPr="000A0EA4">
      <w:rPr>
        <w:rFonts w:ascii="Arial" w:hAnsi="Arial"/>
        <w:sz w:val="16"/>
        <w:szCs w:val="16"/>
      </w:rPr>
      <w:instrText xml:space="preserve"> PAGE   \* MERGEFORMAT </w:instrText>
    </w:r>
    <w:r w:rsidRPr="000A0EA4">
      <w:rPr>
        <w:rFonts w:ascii="Arial" w:hAnsi="Arial"/>
        <w:sz w:val="16"/>
        <w:szCs w:val="16"/>
      </w:rPr>
      <w:fldChar w:fldCharType="separate"/>
    </w:r>
    <w:r w:rsidR="00660E4A">
      <w:rPr>
        <w:rFonts w:ascii="Arial" w:hAnsi="Arial"/>
        <w:noProof/>
        <w:sz w:val="16"/>
        <w:szCs w:val="16"/>
      </w:rPr>
      <w:t>11</w:t>
    </w:r>
    <w:r w:rsidRPr="000A0EA4">
      <w:rPr>
        <w:rFonts w:ascii="Arial" w:hAnsi="Arial"/>
        <w:sz w:val="16"/>
        <w:szCs w:val="16"/>
      </w:rPr>
      <w:fldChar w:fldCharType="end"/>
    </w:r>
    <w:r w:rsidRPr="000A0EA4">
      <w:rPr>
        <w:rFonts w:ascii="Arial" w:hAnsi="Arial"/>
        <w:sz w:val="16"/>
        <w:szCs w:val="16"/>
      </w:rPr>
      <w:tab/>
      <w:t>Tool B.4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07E2A" w14:textId="77777777" w:rsidR="00703A0D" w:rsidRDefault="00703A0D" w:rsidP="000A0EA4">
      <w:pPr>
        <w:spacing w:before="120" w:after="120"/>
      </w:pPr>
      <w:r>
        <w:separator/>
      </w:r>
    </w:p>
  </w:footnote>
  <w:footnote w:type="continuationSeparator" w:id="0">
    <w:p w14:paraId="5DE1CA73" w14:textId="77777777" w:rsidR="00703A0D" w:rsidRDefault="00703A0D" w:rsidP="00B160B1">
      <w:pPr>
        <w:spacing w:after="0"/>
      </w:pPr>
      <w:r>
        <w:continuationSeparator/>
      </w:r>
    </w:p>
  </w:footnote>
  <w:footnote w:type="continuationNotice" w:id="1">
    <w:p w14:paraId="0DF53368" w14:textId="77777777" w:rsidR="00703A0D" w:rsidRDefault="00703A0D">
      <w:pPr>
        <w:spacing w:after="0"/>
      </w:pPr>
    </w:p>
  </w:footnote>
  <w:footnote w:id="2">
    <w:p w14:paraId="30A9FEAF" w14:textId="77777777" w:rsidR="0050389A" w:rsidRDefault="0050389A" w:rsidP="001333AC">
      <w:pPr>
        <w:pStyle w:val="FootnoteText"/>
      </w:pPr>
      <w:r>
        <w:rPr>
          <w:rStyle w:val="FootnoteReference"/>
        </w:rPr>
        <w:footnoteRef/>
      </w:r>
      <w:r>
        <w:t xml:space="preserve"> ICD-9 is the International Classification of Diseases, 9</w:t>
      </w:r>
      <w:r w:rsidRPr="001333AC">
        <w:rPr>
          <w:vertAlign w:val="superscript"/>
        </w:rPr>
        <w:t>th</w:t>
      </w:r>
      <w:r>
        <w:t xml:space="preserve"> Revision. ICD-9-CM refers to the ICD-9 Clinical Modification. ICD-10 refers to the 10</w:t>
      </w:r>
      <w:r w:rsidRPr="001333AC">
        <w:rPr>
          <w:vertAlign w:val="superscript"/>
        </w:rPr>
        <w:t>th</w:t>
      </w:r>
      <w:r>
        <w:t xml:space="preserve"> Revision.</w:t>
      </w:r>
    </w:p>
  </w:footnote>
  <w:footnote w:id="3">
    <w:p w14:paraId="30A9FEB0" w14:textId="2EA116FD" w:rsidR="0050389A" w:rsidRDefault="0050389A">
      <w:pPr>
        <w:pStyle w:val="FootnoteText"/>
      </w:pPr>
      <w:r>
        <w:rPr>
          <w:rStyle w:val="FootnoteReference"/>
        </w:rPr>
        <w:footnoteRef/>
      </w:r>
      <w:r>
        <w:t xml:space="preserve"> Refer to the coding guidelines in the </w:t>
      </w:r>
      <w:r w:rsidRPr="00103873">
        <w:rPr>
          <w:i/>
        </w:rPr>
        <w:t>AHA Coding Clinic</w:t>
      </w:r>
      <w:r>
        <w:t xml:space="preserve"> (2013), as designated by the four cooperating </w:t>
      </w:r>
      <w:proofErr w:type="spellStart"/>
      <w:r>
        <w:t>parties</w:t>
      </w:r>
      <w:proofErr w:type="gramStart"/>
      <w:r>
        <w:t>:American</w:t>
      </w:r>
      <w:proofErr w:type="spellEnd"/>
      <w:proofErr w:type="gramEnd"/>
      <w:r>
        <w:t xml:space="preserve"> Hospital Association, American Health Information Management Association, Centers for Medicare &amp; Medicaid Services, and National Center for Health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6" w14:textId="77777777" w:rsidR="0050389A" w:rsidRPr="000A0EA4" w:rsidRDefault="0050389A" w:rsidP="00AA4CD5">
    <w:pPr>
      <w:pStyle w:val="Header"/>
      <w:tabs>
        <w:tab w:val="clear" w:pos="9360"/>
        <w:tab w:val="right" w:pos="13860"/>
      </w:tabs>
      <w:jc w:val="right"/>
      <w:rPr>
        <w:rFonts w:ascii="Arial" w:hAnsi="Arial"/>
      </w:rPr>
    </w:pPr>
    <w:r w:rsidRPr="000A0EA4">
      <w:rPr>
        <w:rFonts w:ascii="Arial" w:hAnsi="Arial"/>
        <w:sz w:val="16"/>
        <w:szCs w:val="16"/>
      </w:rPr>
      <w:t>AHRQ Quality Indicators Toolkit</w:t>
    </w:r>
  </w:p>
  <w:p w14:paraId="30A9FEA7" w14:textId="77777777" w:rsidR="0050389A" w:rsidRDefault="00503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9" w14:textId="77777777" w:rsidR="0050389A" w:rsidRPr="000A0EA4" w:rsidRDefault="0050389A" w:rsidP="007E08B8">
    <w:pPr>
      <w:pStyle w:val="Header"/>
      <w:tabs>
        <w:tab w:val="clear" w:pos="9360"/>
        <w:tab w:val="right" w:pos="9180"/>
      </w:tabs>
      <w:jc w:val="right"/>
      <w:rPr>
        <w:rFonts w:ascii="Arial" w:hAnsi="Arial"/>
      </w:rPr>
    </w:pPr>
    <w:r w:rsidRPr="000A0EA4">
      <w:rPr>
        <w:rFonts w:ascii="Arial" w:hAnsi="Arial"/>
        <w:sz w:val="16"/>
        <w:szCs w:val="16"/>
      </w:rPr>
      <w:t>AHRQ Quality Indicators Toolkit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FEAC" w14:textId="77777777" w:rsidR="0050389A" w:rsidRPr="000A0EA4" w:rsidRDefault="0050389A" w:rsidP="00AA4CD5">
    <w:pPr>
      <w:pStyle w:val="Header"/>
      <w:tabs>
        <w:tab w:val="clear" w:pos="4680"/>
        <w:tab w:val="clear" w:pos="9360"/>
        <w:tab w:val="center" w:pos="6480"/>
        <w:tab w:val="right" w:pos="13860"/>
      </w:tabs>
      <w:rPr>
        <w:rFonts w:ascii="Arial" w:hAnsi="Arial"/>
      </w:rPr>
    </w:pPr>
    <w:r>
      <w:rPr>
        <w:sz w:val="16"/>
        <w:szCs w:val="16"/>
      </w:rPr>
      <w:tab/>
    </w:r>
    <w:r>
      <w:rPr>
        <w:sz w:val="16"/>
        <w:szCs w:val="16"/>
      </w:rPr>
      <w:tab/>
    </w:r>
    <w:r w:rsidRPr="000A0EA4">
      <w:rPr>
        <w:rFonts w:ascii="Arial" w:hAnsi="Arial"/>
        <w:sz w:val="16"/>
        <w:szCs w:val="16"/>
      </w:rPr>
      <w:t>AHRQ Quality Indicators Toolkit</w:t>
    </w:r>
  </w:p>
  <w:p w14:paraId="30A9FEAD" w14:textId="77777777" w:rsidR="0050389A" w:rsidRDefault="005038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E62458"/>
    <w:lvl w:ilvl="0">
      <w:start w:val="1"/>
      <w:numFmt w:val="decimal"/>
      <w:lvlText w:val="%1."/>
      <w:lvlJc w:val="left"/>
      <w:pPr>
        <w:tabs>
          <w:tab w:val="num" w:pos="1800"/>
        </w:tabs>
        <w:ind w:left="1800" w:hanging="360"/>
      </w:pPr>
    </w:lvl>
  </w:abstractNum>
  <w:abstractNum w:abstractNumId="1">
    <w:nsid w:val="FFFFFF7D"/>
    <w:multiLevelType w:val="singleLevel"/>
    <w:tmpl w:val="2A963A7C"/>
    <w:lvl w:ilvl="0">
      <w:start w:val="1"/>
      <w:numFmt w:val="decimal"/>
      <w:lvlText w:val="%1."/>
      <w:lvlJc w:val="left"/>
      <w:pPr>
        <w:tabs>
          <w:tab w:val="num" w:pos="1440"/>
        </w:tabs>
        <w:ind w:left="1440" w:hanging="360"/>
      </w:pPr>
    </w:lvl>
  </w:abstractNum>
  <w:abstractNum w:abstractNumId="2">
    <w:nsid w:val="FFFFFF7E"/>
    <w:multiLevelType w:val="singleLevel"/>
    <w:tmpl w:val="70C23ADA"/>
    <w:lvl w:ilvl="0">
      <w:start w:val="1"/>
      <w:numFmt w:val="decimal"/>
      <w:lvlText w:val="%1."/>
      <w:lvlJc w:val="left"/>
      <w:pPr>
        <w:tabs>
          <w:tab w:val="num" w:pos="1080"/>
        </w:tabs>
        <w:ind w:left="1080" w:hanging="360"/>
      </w:pPr>
    </w:lvl>
  </w:abstractNum>
  <w:abstractNum w:abstractNumId="3">
    <w:nsid w:val="FFFFFF7F"/>
    <w:multiLevelType w:val="singleLevel"/>
    <w:tmpl w:val="4F20CEC8"/>
    <w:lvl w:ilvl="0">
      <w:start w:val="1"/>
      <w:numFmt w:val="decimal"/>
      <w:lvlText w:val="%1."/>
      <w:lvlJc w:val="left"/>
      <w:pPr>
        <w:tabs>
          <w:tab w:val="num" w:pos="720"/>
        </w:tabs>
        <w:ind w:left="720" w:hanging="360"/>
      </w:pPr>
    </w:lvl>
  </w:abstractNum>
  <w:abstractNum w:abstractNumId="4">
    <w:nsid w:val="FFFFFF80"/>
    <w:multiLevelType w:val="singleLevel"/>
    <w:tmpl w:val="495CDF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0027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8A38A4"/>
    <w:lvl w:ilvl="0">
      <w:start w:val="1"/>
      <w:numFmt w:val="bullet"/>
      <w:pStyle w:val="ListBullet3"/>
      <w:lvlText w:val="○"/>
      <w:lvlJc w:val="left"/>
      <w:pPr>
        <w:ind w:left="1080" w:hanging="360"/>
      </w:pPr>
      <w:rPr>
        <w:rFonts w:ascii="Times New Roman" w:hAnsi="Times New Roman" w:cs="Times New Roman" w:hint="default"/>
      </w:rPr>
    </w:lvl>
  </w:abstractNum>
  <w:abstractNum w:abstractNumId="7">
    <w:nsid w:val="FFFFFF83"/>
    <w:multiLevelType w:val="singleLevel"/>
    <w:tmpl w:val="7B34F9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265A6A"/>
    <w:lvl w:ilvl="0">
      <w:start w:val="1"/>
      <w:numFmt w:val="decimal"/>
      <w:lvlText w:val="%1."/>
      <w:lvlJc w:val="left"/>
      <w:pPr>
        <w:tabs>
          <w:tab w:val="num" w:pos="360"/>
        </w:tabs>
        <w:ind w:left="360" w:hanging="360"/>
      </w:pPr>
    </w:lvl>
  </w:abstractNum>
  <w:abstractNum w:abstractNumId="9">
    <w:nsid w:val="FFFFFF89"/>
    <w:multiLevelType w:val="singleLevel"/>
    <w:tmpl w:val="79D6A662"/>
    <w:lvl w:ilvl="0">
      <w:start w:val="1"/>
      <w:numFmt w:val="bullet"/>
      <w:lvlText w:val=""/>
      <w:lvlJc w:val="left"/>
      <w:pPr>
        <w:tabs>
          <w:tab w:val="num" w:pos="360"/>
        </w:tabs>
        <w:ind w:left="360" w:hanging="360"/>
      </w:pPr>
      <w:rPr>
        <w:rFonts w:ascii="Symbol" w:hAnsi="Symbol" w:hint="default"/>
      </w:rPr>
    </w:lvl>
  </w:abstractNum>
  <w:abstractNum w:abstractNumId="10">
    <w:nsid w:val="00F72A28"/>
    <w:multiLevelType w:val="hybridMultilevel"/>
    <w:tmpl w:val="F222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AA0313"/>
    <w:multiLevelType w:val="hybridMultilevel"/>
    <w:tmpl w:val="2AE6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3C5469"/>
    <w:multiLevelType w:val="hybridMultilevel"/>
    <w:tmpl w:val="84149714"/>
    <w:lvl w:ilvl="0" w:tplc="77DEDCAA">
      <w:start w:val="1"/>
      <w:numFmt w:val="bullet"/>
      <w:pStyle w:val="ListParagraph"/>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13A60761"/>
    <w:multiLevelType w:val="hybridMultilevel"/>
    <w:tmpl w:val="9DE61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83007"/>
    <w:multiLevelType w:val="hybridMultilevel"/>
    <w:tmpl w:val="857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83529"/>
    <w:multiLevelType w:val="hybridMultilevel"/>
    <w:tmpl w:val="6D6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B0450"/>
    <w:multiLevelType w:val="hybridMultilevel"/>
    <w:tmpl w:val="3F3E93E4"/>
    <w:lvl w:ilvl="0" w:tplc="E96C8C84">
      <w:start w:val="1"/>
      <w:numFmt w:val="bullet"/>
      <w:lvlText w:val=""/>
      <w:lvlJc w:val="left"/>
      <w:pPr>
        <w:tabs>
          <w:tab w:val="num" w:pos="360"/>
        </w:tabs>
        <w:ind w:left="360" w:hanging="360"/>
      </w:pPr>
      <w:rPr>
        <w:rFonts w:ascii="Symbol" w:hAnsi="Symbol" w:cs="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34DD3B07"/>
    <w:multiLevelType w:val="hybridMultilevel"/>
    <w:tmpl w:val="67827D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3BA1588C"/>
    <w:multiLevelType w:val="hybridMultilevel"/>
    <w:tmpl w:val="83D4DED8"/>
    <w:lvl w:ilvl="0" w:tplc="E96C8C84">
      <w:start w:val="1"/>
      <w:numFmt w:val="bullet"/>
      <w:lvlText w:val=""/>
      <w:lvlJc w:val="left"/>
      <w:pPr>
        <w:tabs>
          <w:tab w:val="num" w:pos="360"/>
        </w:tabs>
        <w:ind w:left="360" w:hanging="360"/>
      </w:pPr>
      <w:rPr>
        <w:rFonts w:ascii="Symbol" w:hAnsi="Symbol" w:cs="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9">
    <w:nsid w:val="4B2F1C2A"/>
    <w:multiLevelType w:val="hybridMultilevel"/>
    <w:tmpl w:val="48A683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599F688E"/>
    <w:multiLevelType w:val="hybridMultilevel"/>
    <w:tmpl w:val="AE988A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59B35E1C"/>
    <w:multiLevelType w:val="hybridMultilevel"/>
    <w:tmpl w:val="4F06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6B9"/>
    <w:multiLevelType w:val="hybridMultilevel"/>
    <w:tmpl w:val="D49CDF9E"/>
    <w:lvl w:ilvl="0" w:tplc="04090001">
      <w:start w:val="1"/>
      <w:numFmt w:val="bullet"/>
      <w:lvlText w:val=""/>
      <w:lvlJc w:val="left"/>
      <w:pPr>
        <w:ind w:left="450" w:hanging="360"/>
      </w:pPr>
      <w:rPr>
        <w:rFonts w:ascii="Symbol" w:hAnsi="Symbol" w:cs="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cs="Wingdings" w:hint="default"/>
      </w:rPr>
    </w:lvl>
    <w:lvl w:ilvl="3" w:tplc="04090001" w:tentative="1">
      <w:start w:val="1"/>
      <w:numFmt w:val="bullet"/>
      <w:lvlText w:val=""/>
      <w:lvlJc w:val="left"/>
      <w:pPr>
        <w:ind w:left="2610" w:hanging="360"/>
      </w:pPr>
      <w:rPr>
        <w:rFonts w:ascii="Symbol" w:hAnsi="Symbol" w:cs="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cs="Wingdings" w:hint="default"/>
      </w:rPr>
    </w:lvl>
    <w:lvl w:ilvl="6" w:tplc="04090001" w:tentative="1">
      <w:start w:val="1"/>
      <w:numFmt w:val="bullet"/>
      <w:lvlText w:val=""/>
      <w:lvlJc w:val="left"/>
      <w:pPr>
        <w:ind w:left="4770" w:hanging="360"/>
      </w:pPr>
      <w:rPr>
        <w:rFonts w:ascii="Symbol" w:hAnsi="Symbol" w:cs="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cs="Wingdings" w:hint="default"/>
      </w:rPr>
    </w:lvl>
  </w:abstractNum>
  <w:abstractNum w:abstractNumId="23">
    <w:nsid w:val="6B5C7BF3"/>
    <w:multiLevelType w:val="hybridMultilevel"/>
    <w:tmpl w:val="C20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CF0811"/>
    <w:multiLevelType w:val="hybridMultilevel"/>
    <w:tmpl w:val="6F2EB4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7C813CEA"/>
    <w:multiLevelType w:val="hybridMultilevel"/>
    <w:tmpl w:val="5478F2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7D207824"/>
    <w:multiLevelType w:val="hybridMultilevel"/>
    <w:tmpl w:val="796817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5"/>
  </w:num>
  <w:num w:numId="2">
    <w:abstractNumId w:val="20"/>
  </w:num>
  <w:num w:numId="3">
    <w:abstractNumId w:val="12"/>
  </w:num>
  <w:num w:numId="4">
    <w:abstractNumId w:val="27"/>
  </w:num>
  <w:num w:numId="5">
    <w:abstractNumId w:val="19"/>
  </w:num>
  <w:num w:numId="6">
    <w:abstractNumId w:val="22"/>
  </w:num>
  <w:num w:numId="7">
    <w:abstractNumId w:val="17"/>
  </w:num>
  <w:num w:numId="8">
    <w:abstractNumId w:val="26"/>
  </w:num>
  <w:num w:numId="9">
    <w:abstractNumId w:val="24"/>
  </w:num>
  <w:num w:numId="10">
    <w:abstractNumId w:val="18"/>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 w:numId="23">
    <w:abstractNumId w:val="13"/>
  </w:num>
  <w:num w:numId="24">
    <w:abstractNumId w:val="23"/>
  </w:num>
  <w:num w:numId="25">
    <w:abstractNumId w:val="10"/>
  </w:num>
  <w:num w:numId="26">
    <w:abstractNumId w:val="21"/>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00"/>
  <w:displayHorizontalDrawingGridEvery w:val="2"/>
  <w:characterSpacingControl w:val="doNotCompress"/>
  <w:doNotValidateAgainstSchema/>
  <w:doNotDemarcateInvalidXml/>
  <w:hdrShapeDefaults>
    <o:shapedefaults v:ext="edit" spidmax="2049"/>
  </w:hdrShapeDefaults>
  <w:footnotePr>
    <w:numFmt w:val="lowerRoman"/>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D8"/>
    <w:rsid w:val="00010A0E"/>
    <w:rsid w:val="00010FB2"/>
    <w:rsid w:val="000116E1"/>
    <w:rsid w:val="0001178D"/>
    <w:rsid w:val="00014B32"/>
    <w:rsid w:val="00014E40"/>
    <w:rsid w:val="00021AEA"/>
    <w:rsid w:val="00024DF1"/>
    <w:rsid w:val="00026497"/>
    <w:rsid w:val="00031361"/>
    <w:rsid w:val="000317E7"/>
    <w:rsid w:val="00036850"/>
    <w:rsid w:val="00044977"/>
    <w:rsid w:val="00044FA3"/>
    <w:rsid w:val="000568B6"/>
    <w:rsid w:val="00061168"/>
    <w:rsid w:val="000737A4"/>
    <w:rsid w:val="000759AE"/>
    <w:rsid w:val="0008224B"/>
    <w:rsid w:val="00085FCC"/>
    <w:rsid w:val="000958D8"/>
    <w:rsid w:val="00095FFA"/>
    <w:rsid w:val="000A0EA4"/>
    <w:rsid w:val="000A2479"/>
    <w:rsid w:val="000A311E"/>
    <w:rsid w:val="000A37D2"/>
    <w:rsid w:val="000A5073"/>
    <w:rsid w:val="000A6473"/>
    <w:rsid w:val="000B51F3"/>
    <w:rsid w:val="000C056D"/>
    <w:rsid w:val="000C4E6A"/>
    <w:rsid w:val="000C7BE1"/>
    <w:rsid w:val="000D1D2D"/>
    <w:rsid w:val="000D32F7"/>
    <w:rsid w:val="000D33AA"/>
    <w:rsid w:val="000D5503"/>
    <w:rsid w:val="000E0172"/>
    <w:rsid w:val="000E5B93"/>
    <w:rsid w:val="000F5776"/>
    <w:rsid w:val="00101926"/>
    <w:rsid w:val="00102336"/>
    <w:rsid w:val="001025E4"/>
    <w:rsid w:val="001037AA"/>
    <w:rsid w:val="00103873"/>
    <w:rsid w:val="00104DD7"/>
    <w:rsid w:val="0010646B"/>
    <w:rsid w:val="00111145"/>
    <w:rsid w:val="00112ADC"/>
    <w:rsid w:val="00117C5C"/>
    <w:rsid w:val="0012033E"/>
    <w:rsid w:val="00121F55"/>
    <w:rsid w:val="00123398"/>
    <w:rsid w:val="00125F96"/>
    <w:rsid w:val="00131527"/>
    <w:rsid w:val="001333AC"/>
    <w:rsid w:val="0013397F"/>
    <w:rsid w:val="001349CE"/>
    <w:rsid w:val="0014020C"/>
    <w:rsid w:val="0014047B"/>
    <w:rsid w:val="0014078F"/>
    <w:rsid w:val="001426A1"/>
    <w:rsid w:val="00145A6B"/>
    <w:rsid w:val="00147580"/>
    <w:rsid w:val="0015002A"/>
    <w:rsid w:val="001506BC"/>
    <w:rsid w:val="0015493D"/>
    <w:rsid w:val="0015525E"/>
    <w:rsid w:val="001604F0"/>
    <w:rsid w:val="00166484"/>
    <w:rsid w:val="00166FAE"/>
    <w:rsid w:val="00173360"/>
    <w:rsid w:val="001752AB"/>
    <w:rsid w:val="00176319"/>
    <w:rsid w:val="0017680F"/>
    <w:rsid w:val="00180AB2"/>
    <w:rsid w:val="00181360"/>
    <w:rsid w:val="00181474"/>
    <w:rsid w:val="001927C8"/>
    <w:rsid w:val="00197058"/>
    <w:rsid w:val="001A46B0"/>
    <w:rsid w:val="001A47DF"/>
    <w:rsid w:val="001A69E0"/>
    <w:rsid w:val="001A7A85"/>
    <w:rsid w:val="001B4F05"/>
    <w:rsid w:val="001C3198"/>
    <w:rsid w:val="001C64BC"/>
    <w:rsid w:val="001D10EB"/>
    <w:rsid w:val="001D381C"/>
    <w:rsid w:val="001F648C"/>
    <w:rsid w:val="002049CB"/>
    <w:rsid w:val="0020697A"/>
    <w:rsid w:val="0021761E"/>
    <w:rsid w:val="00227D19"/>
    <w:rsid w:val="00230286"/>
    <w:rsid w:val="0023456D"/>
    <w:rsid w:val="002400F8"/>
    <w:rsid w:val="00245FDB"/>
    <w:rsid w:val="00250BFD"/>
    <w:rsid w:val="002628A2"/>
    <w:rsid w:val="0026719B"/>
    <w:rsid w:val="00270E8A"/>
    <w:rsid w:val="00274B16"/>
    <w:rsid w:val="0027740D"/>
    <w:rsid w:val="00283988"/>
    <w:rsid w:val="00284C69"/>
    <w:rsid w:val="00290D14"/>
    <w:rsid w:val="00291AEA"/>
    <w:rsid w:val="002A0514"/>
    <w:rsid w:val="002A0614"/>
    <w:rsid w:val="002A5EF9"/>
    <w:rsid w:val="002B5735"/>
    <w:rsid w:val="002B6612"/>
    <w:rsid w:val="002B74AF"/>
    <w:rsid w:val="002C12FF"/>
    <w:rsid w:val="002C4A46"/>
    <w:rsid w:val="002C64DC"/>
    <w:rsid w:val="002C7593"/>
    <w:rsid w:val="002D287A"/>
    <w:rsid w:val="002E1C12"/>
    <w:rsid w:val="002E214C"/>
    <w:rsid w:val="002E7540"/>
    <w:rsid w:val="002E75D4"/>
    <w:rsid w:val="002F1FC5"/>
    <w:rsid w:val="002F50AF"/>
    <w:rsid w:val="00302B8A"/>
    <w:rsid w:val="00306B30"/>
    <w:rsid w:val="00315311"/>
    <w:rsid w:val="0031746D"/>
    <w:rsid w:val="00324779"/>
    <w:rsid w:val="0032735E"/>
    <w:rsid w:val="003309C8"/>
    <w:rsid w:val="003312BA"/>
    <w:rsid w:val="00333DE4"/>
    <w:rsid w:val="00336CF1"/>
    <w:rsid w:val="0034004A"/>
    <w:rsid w:val="003406E8"/>
    <w:rsid w:val="00340A3E"/>
    <w:rsid w:val="00342F22"/>
    <w:rsid w:val="00346DE8"/>
    <w:rsid w:val="0035283C"/>
    <w:rsid w:val="003531C7"/>
    <w:rsid w:val="003602BC"/>
    <w:rsid w:val="00364A07"/>
    <w:rsid w:val="00364E6C"/>
    <w:rsid w:val="003728DE"/>
    <w:rsid w:val="00373CC5"/>
    <w:rsid w:val="003743E5"/>
    <w:rsid w:val="00375C98"/>
    <w:rsid w:val="00384CEA"/>
    <w:rsid w:val="00386641"/>
    <w:rsid w:val="003912B3"/>
    <w:rsid w:val="0039564C"/>
    <w:rsid w:val="003A3161"/>
    <w:rsid w:val="003A4542"/>
    <w:rsid w:val="003B4ECD"/>
    <w:rsid w:val="003B57C8"/>
    <w:rsid w:val="003B5E11"/>
    <w:rsid w:val="003B6253"/>
    <w:rsid w:val="003C23FC"/>
    <w:rsid w:val="003C28E3"/>
    <w:rsid w:val="003C4710"/>
    <w:rsid w:val="003C4BAF"/>
    <w:rsid w:val="003C52C0"/>
    <w:rsid w:val="003C57E9"/>
    <w:rsid w:val="003D2962"/>
    <w:rsid w:val="003D79BF"/>
    <w:rsid w:val="003E2D9A"/>
    <w:rsid w:val="003F1826"/>
    <w:rsid w:val="003F313D"/>
    <w:rsid w:val="003F47B9"/>
    <w:rsid w:val="003F72D3"/>
    <w:rsid w:val="003F7DA6"/>
    <w:rsid w:val="003F7DC2"/>
    <w:rsid w:val="00407D06"/>
    <w:rsid w:val="00411287"/>
    <w:rsid w:val="00413D55"/>
    <w:rsid w:val="0041658C"/>
    <w:rsid w:val="00417FCE"/>
    <w:rsid w:val="00420EFE"/>
    <w:rsid w:val="004248EC"/>
    <w:rsid w:val="00430F7E"/>
    <w:rsid w:val="00436FE9"/>
    <w:rsid w:val="004414DE"/>
    <w:rsid w:val="00445838"/>
    <w:rsid w:val="004533B4"/>
    <w:rsid w:val="00465AF5"/>
    <w:rsid w:val="00467C9E"/>
    <w:rsid w:val="00467DAC"/>
    <w:rsid w:val="004723A4"/>
    <w:rsid w:val="00473FEE"/>
    <w:rsid w:val="0047481B"/>
    <w:rsid w:val="00474FB9"/>
    <w:rsid w:val="00476403"/>
    <w:rsid w:val="00476D10"/>
    <w:rsid w:val="00481B0A"/>
    <w:rsid w:val="00482BB7"/>
    <w:rsid w:val="004832DA"/>
    <w:rsid w:val="00487CFA"/>
    <w:rsid w:val="0049640D"/>
    <w:rsid w:val="00497DE4"/>
    <w:rsid w:val="004A0879"/>
    <w:rsid w:val="004A099F"/>
    <w:rsid w:val="004A40F9"/>
    <w:rsid w:val="004A4452"/>
    <w:rsid w:val="004B0804"/>
    <w:rsid w:val="004B55FA"/>
    <w:rsid w:val="004C41E1"/>
    <w:rsid w:val="004C423A"/>
    <w:rsid w:val="004D074D"/>
    <w:rsid w:val="004D373C"/>
    <w:rsid w:val="004D429A"/>
    <w:rsid w:val="004E689E"/>
    <w:rsid w:val="004F4284"/>
    <w:rsid w:val="005000B6"/>
    <w:rsid w:val="0050389A"/>
    <w:rsid w:val="0050638D"/>
    <w:rsid w:val="00507F5B"/>
    <w:rsid w:val="005132F4"/>
    <w:rsid w:val="00520C2A"/>
    <w:rsid w:val="005337E6"/>
    <w:rsid w:val="00551DC7"/>
    <w:rsid w:val="00554354"/>
    <w:rsid w:val="00555DB4"/>
    <w:rsid w:val="00563B36"/>
    <w:rsid w:val="00564BCE"/>
    <w:rsid w:val="00564DBE"/>
    <w:rsid w:val="005720C7"/>
    <w:rsid w:val="0058302C"/>
    <w:rsid w:val="0058724F"/>
    <w:rsid w:val="0058741F"/>
    <w:rsid w:val="00590332"/>
    <w:rsid w:val="00597650"/>
    <w:rsid w:val="005A54B1"/>
    <w:rsid w:val="005A5AD2"/>
    <w:rsid w:val="005A7717"/>
    <w:rsid w:val="005B56E2"/>
    <w:rsid w:val="005B5BD1"/>
    <w:rsid w:val="005C0106"/>
    <w:rsid w:val="005C1D8E"/>
    <w:rsid w:val="005C6391"/>
    <w:rsid w:val="005D1494"/>
    <w:rsid w:val="005D3B2F"/>
    <w:rsid w:val="005E1237"/>
    <w:rsid w:val="005E5324"/>
    <w:rsid w:val="005F5248"/>
    <w:rsid w:val="006077F7"/>
    <w:rsid w:val="00611F34"/>
    <w:rsid w:val="00612A3E"/>
    <w:rsid w:val="00620267"/>
    <w:rsid w:val="00620F90"/>
    <w:rsid w:val="0062366C"/>
    <w:rsid w:val="00631A07"/>
    <w:rsid w:val="006328BD"/>
    <w:rsid w:val="00634C66"/>
    <w:rsid w:val="006377F9"/>
    <w:rsid w:val="00637B5D"/>
    <w:rsid w:val="00637D58"/>
    <w:rsid w:val="00640597"/>
    <w:rsid w:val="006417A7"/>
    <w:rsid w:val="0064569B"/>
    <w:rsid w:val="00656F25"/>
    <w:rsid w:val="006577AB"/>
    <w:rsid w:val="00660E4A"/>
    <w:rsid w:val="00663338"/>
    <w:rsid w:val="00664C74"/>
    <w:rsid w:val="00674506"/>
    <w:rsid w:val="00674F3D"/>
    <w:rsid w:val="00680F98"/>
    <w:rsid w:val="00681702"/>
    <w:rsid w:val="00682443"/>
    <w:rsid w:val="006843CF"/>
    <w:rsid w:val="006853D7"/>
    <w:rsid w:val="00690BCE"/>
    <w:rsid w:val="006918BC"/>
    <w:rsid w:val="00691A1A"/>
    <w:rsid w:val="006941FA"/>
    <w:rsid w:val="00694CBD"/>
    <w:rsid w:val="006A0245"/>
    <w:rsid w:val="006A1569"/>
    <w:rsid w:val="006A4113"/>
    <w:rsid w:val="006B41DD"/>
    <w:rsid w:val="006B5AE3"/>
    <w:rsid w:val="006F00FB"/>
    <w:rsid w:val="00703A0D"/>
    <w:rsid w:val="00705BA5"/>
    <w:rsid w:val="00705EC6"/>
    <w:rsid w:val="00713409"/>
    <w:rsid w:val="0071347F"/>
    <w:rsid w:val="007244D1"/>
    <w:rsid w:val="0072699E"/>
    <w:rsid w:val="00731AD5"/>
    <w:rsid w:val="00734DA7"/>
    <w:rsid w:val="00740D02"/>
    <w:rsid w:val="00751504"/>
    <w:rsid w:val="00754EFB"/>
    <w:rsid w:val="00755DD8"/>
    <w:rsid w:val="00756812"/>
    <w:rsid w:val="00756D07"/>
    <w:rsid w:val="00761675"/>
    <w:rsid w:val="0076259F"/>
    <w:rsid w:val="00762689"/>
    <w:rsid w:val="007667DE"/>
    <w:rsid w:val="00767D60"/>
    <w:rsid w:val="00771491"/>
    <w:rsid w:val="00774D85"/>
    <w:rsid w:val="00780410"/>
    <w:rsid w:val="00784508"/>
    <w:rsid w:val="00784A51"/>
    <w:rsid w:val="00785ECB"/>
    <w:rsid w:val="00790232"/>
    <w:rsid w:val="00790847"/>
    <w:rsid w:val="0079322B"/>
    <w:rsid w:val="00797757"/>
    <w:rsid w:val="007A0676"/>
    <w:rsid w:val="007A1593"/>
    <w:rsid w:val="007A6A9E"/>
    <w:rsid w:val="007B38A8"/>
    <w:rsid w:val="007B6D28"/>
    <w:rsid w:val="007B741D"/>
    <w:rsid w:val="007C6C51"/>
    <w:rsid w:val="007D0775"/>
    <w:rsid w:val="007D2ED0"/>
    <w:rsid w:val="007D38CB"/>
    <w:rsid w:val="007D53AE"/>
    <w:rsid w:val="007D66CC"/>
    <w:rsid w:val="007D7C4D"/>
    <w:rsid w:val="007E08A7"/>
    <w:rsid w:val="007E08B8"/>
    <w:rsid w:val="007F3A93"/>
    <w:rsid w:val="007F5340"/>
    <w:rsid w:val="007F78CF"/>
    <w:rsid w:val="00802AF9"/>
    <w:rsid w:val="00803455"/>
    <w:rsid w:val="008062CA"/>
    <w:rsid w:val="0080765A"/>
    <w:rsid w:val="00812D39"/>
    <w:rsid w:val="00814168"/>
    <w:rsid w:val="00827204"/>
    <w:rsid w:val="00840F6D"/>
    <w:rsid w:val="0084506C"/>
    <w:rsid w:val="008509A4"/>
    <w:rsid w:val="00851585"/>
    <w:rsid w:val="008523EE"/>
    <w:rsid w:val="00861F39"/>
    <w:rsid w:val="00871DE0"/>
    <w:rsid w:val="00873085"/>
    <w:rsid w:val="008824A5"/>
    <w:rsid w:val="0088721D"/>
    <w:rsid w:val="008968B6"/>
    <w:rsid w:val="00897F92"/>
    <w:rsid w:val="008A23F0"/>
    <w:rsid w:val="008A27F4"/>
    <w:rsid w:val="008B2FCE"/>
    <w:rsid w:val="008C291D"/>
    <w:rsid w:val="008C31DB"/>
    <w:rsid w:val="008E051C"/>
    <w:rsid w:val="008E1322"/>
    <w:rsid w:val="008E29A2"/>
    <w:rsid w:val="008E4758"/>
    <w:rsid w:val="008E4A64"/>
    <w:rsid w:val="008E608F"/>
    <w:rsid w:val="008F3856"/>
    <w:rsid w:val="008F6714"/>
    <w:rsid w:val="008F68A1"/>
    <w:rsid w:val="008F6D9A"/>
    <w:rsid w:val="009020C5"/>
    <w:rsid w:val="00904CED"/>
    <w:rsid w:val="0090612E"/>
    <w:rsid w:val="00912E1E"/>
    <w:rsid w:val="0091429A"/>
    <w:rsid w:val="00914EEF"/>
    <w:rsid w:val="0092514F"/>
    <w:rsid w:val="00926469"/>
    <w:rsid w:val="00930A8E"/>
    <w:rsid w:val="009345CD"/>
    <w:rsid w:val="009355E0"/>
    <w:rsid w:val="00942368"/>
    <w:rsid w:val="009435E6"/>
    <w:rsid w:val="00945642"/>
    <w:rsid w:val="009479D1"/>
    <w:rsid w:val="009564BD"/>
    <w:rsid w:val="009673DF"/>
    <w:rsid w:val="00972BE8"/>
    <w:rsid w:val="00981313"/>
    <w:rsid w:val="00983A50"/>
    <w:rsid w:val="00985923"/>
    <w:rsid w:val="00985E06"/>
    <w:rsid w:val="00986059"/>
    <w:rsid w:val="0099571F"/>
    <w:rsid w:val="009A310B"/>
    <w:rsid w:val="009A58D4"/>
    <w:rsid w:val="009B3772"/>
    <w:rsid w:val="009B4C74"/>
    <w:rsid w:val="009B504D"/>
    <w:rsid w:val="009B5CA8"/>
    <w:rsid w:val="009B606A"/>
    <w:rsid w:val="009C263E"/>
    <w:rsid w:val="009C6BB2"/>
    <w:rsid w:val="009D03D5"/>
    <w:rsid w:val="009D1796"/>
    <w:rsid w:val="009D4665"/>
    <w:rsid w:val="009D5087"/>
    <w:rsid w:val="009D61D4"/>
    <w:rsid w:val="009E0564"/>
    <w:rsid w:val="009E29AA"/>
    <w:rsid w:val="009E6CC0"/>
    <w:rsid w:val="009E7498"/>
    <w:rsid w:val="009E7ADA"/>
    <w:rsid w:val="00A0087A"/>
    <w:rsid w:val="00A00A57"/>
    <w:rsid w:val="00A043E0"/>
    <w:rsid w:val="00A0497C"/>
    <w:rsid w:val="00A0589E"/>
    <w:rsid w:val="00A072FE"/>
    <w:rsid w:val="00A126F1"/>
    <w:rsid w:val="00A12A0D"/>
    <w:rsid w:val="00A13BF3"/>
    <w:rsid w:val="00A13CDC"/>
    <w:rsid w:val="00A204DF"/>
    <w:rsid w:val="00A216F3"/>
    <w:rsid w:val="00A21AAF"/>
    <w:rsid w:val="00A26649"/>
    <w:rsid w:val="00A309F9"/>
    <w:rsid w:val="00A3359D"/>
    <w:rsid w:val="00A33DDA"/>
    <w:rsid w:val="00A37CBE"/>
    <w:rsid w:val="00A40D1A"/>
    <w:rsid w:val="00A41606"/>
    <w:rsid w:val="00A432B2"/>
    <w:rsid w:val="00A43E8E"/>
    <w:rsid w:val="00A47F47"/>
    <w:rsid w:val="00A6577C"/>
    <w:rsid w:val="00A66835"/>
    <w:rsid w:val="00A6695B"/>
    <w:rsid w:val="00A67020"/>
    <w:rsid w:val="00A718AD"/>
    <w:rsid w:val="00A71A61"/>
    <w:rsid w:val="00A726C0"/>
    <w:rsid w:val="00A7321E"/>
    <w:rsid w:val="00A732A9"/>
    <w:rsid w:val="00A76E81"/>
    <w:rsid w:val="00A80A6A"/>
    <w:rsid w:val="00A81B37"/>
    <w:rsid w:val="00A84A30"/>
    <w:rsid w:val="00A90D6B"/>
    <w:rsid w:val="00A95783"/>
    <w:rsid w:val="00AA10C9"/>
    <w:rsid w:val="00AA3479"/>
    <w:rsid w:val="00AA4CD5"/>
    <w:rsid w:val="00AA50FD"/>
    <w:rsid w:val="00AC1B5A"/>
    <w:rsid w:val="00AC2967"/>
    <w:rsid w:val="00AC33DC"/>
    <w:rsid w:val="00AD0850"/>
    <w:rsid w:val="00AD1C3F"/>
    <w:rsid w:val="00AE5627"/>
    <w:rsid w:val="00AE6CF8"/>
    <w:rsid w:val="00AF2B43"/>
    <w:rsid w:val="00AF32FF"/>
    <w:rsid w:val="00AF3AC0"/>
    <w:rsid w:val="00AF404F"/>
    <w:rsid w:val="00AF4DC4"/>
    <w:rsid w:val="00B00B7A"/>
    <w:rsid w:val="00B05D77"/>
    <w:rsid w:val="00B07394"/>
    <w:rsid w:val="00B13961"/>
    <w:rsid w:val="00B13DBB"/>
    <w:rsid w:val="00B160B1"/>
    <w:rsid w:val="00B21A7B"/>
    <w:rsid w:val="00B2425E"/>
    <w:rsid w:val="00B32398"/>
    <w:rsid w:val="00B32CBA"/>
    <w:rsid w:val="00B33CD1"/>
    <w:rsid w:val="00B40138"/>
    <w:rsid w:val="00B40816"/>
    <w:rsid w:val="00B44262"/>
    <w:rsid w:val="00B448EC"/>
    <w:rsid w:val="00B50354"/>
    <w:rsid w:val="00B532E4"/>
    <w:rsid w:val="00B53565"/>
    <w:rsid w:val="00B546EF"/>
    <w:rsid w:val="00B54942"/>
    <w:rsid w:val="00B6361C"/>
    <w:rsid w:val="00B677D9"/>
    <w:rsid w:val="00B70C1C"/>
    <w:rsid w:val="00B7265F"/>
    <w:rsid w:val="00B75B73"/>
    <w:rsid w:val="00B800E5"/>
    <w:rsid w:val="00B82E32"/>
    <w:rsid w:val="00B87C5F"/>
    <w:rsid w:val="00BA794E"/>
    <w:rsid w:val="00BB5182"/>
    <w:rsid w:val="00BC42A8"/>
    <w:rsid w:val="00BC5D4F"/>
    <w:rsid w:val="00BC64BB"/>
    <w:rsid w:val="00BD4E48"/>
    <w:rsid w:val="00BD6822"/>
    <w:rsid w:val="00BE12E3"/>
    <w:rsid w:val="00BE43EC"/>
    <w:rsid w:val="00BF192B"/>
    <w:rsid w:val="00BF1A79"/>
    <w:rsid w:val="00BF2B9B"/>
    <w:rsid w:val="00BF5AC1"/>
    <w:rsid w:val="00C05443"/>
    <w:rsid w:val="00C06F4E"/>
    <w:rsid w:val="00C07994"/>
    <w:rsid w:val="00C10AB1"/>
    <w:rsid w:val="00C1284B"/>
    <w:rsid w:val="00C2085F"/>
    <w:rsid w:val="00C22862"/>
    <w:rsid w:val="00C24176"/>
    <w:rsid w:val="00C263FA"/>
    <w:rsid w:val="00C35555"/>
    <w:rsid w:val="00C4799B"/>
    <w:rsid w:val="00C55EA7"/>
    <w:rsid w:val="00C64166"/>
    <w:rsid w:val="00C653D8"/>
    <w:rsid w:val="00C70805"/>
    <w:rsid w:val="00C729E1"/>
    <w:rsid w:val="00C73B51"/>
    <w:rsid w:val="00C749F1"/>
    <w:rsid w:val="00C77563"/>
    <w:rsid w:val="00C81A53"/>
    <w:rsid w:val="00C86E92"/>
    <w:rsid w:val="00C9327A"/>
    <w:rsid w:val="00C94DFC"/>
    <w:rsid w:val="00C96348"/>
    <w:rsid w:val="00CA1FEB"/>
    <w:rsid w:val="00CA3C08"/>
    <w:rsid w:val="00CA560E"/>
    <w:rsid w:val="00CA5D7D"/>
    <w:rsid w:val="00CB6053"/>
    <w:rsid w:val="00CB69ED"/>
    <w:rsid w:val="00CB710C"/>
    <w:rsid w:val="00CB7F8F"/>
    <w:rsid w:val="00CC5288"/>
    <w:rsid w:val="00CC654D"/>
    <w:rsid w:val="00CD1FD4"/>
    <w:rsid w:val="00CD6851"/>
    <w:rsid w:val="00CD751F"/>
    <w:rsid w:val="00CD7928"/>
    <w:rsid w:val="00CE0A3A"/>
    <w:rsid w:val="00CE33C3"/>
    <w:rsid w:val="00CE4D43"/>
    <w:rsid w:val="00CE50B2"/>
    <w:rsid w:val="00CF14E0"/>
    <w:rsid w:val="00CF6644"/>
    <w:rsid w:val="00CF709D"/>
    <w:rsid w:val="00CF7247"/>
    <w:rsid w:val="00CF75BA"/>
    <w:rsid w:val="00D00BC5"/>
    <w:rsid w:val="00D2008A"/>
    <w:rsid w:val="00D205A2"/>
    <w:rsid w:val="00D233C7"/>
    <w:rsid w:val="00D261E0"/>
    <w:rsid w:val="00D2797C"/>
    <w:rsid w:val="00D3029E"/>
    <w:rsid w:val="00D31BF3"/>
    <w:rsid w:val="00D3362E"/>
    <w:rsid w:val="00D366DB"/>
    <w:rsid w:val="00D434F7"/>
    <w:rsid w:val="00D470C0"/>
    <w:rsid w:val="00D51764"/>
    <w:rsid w:val="00D51ABC"/>
    <w:rsid w:val="00D54F88"/>
    <w:rsid w:val="00D55F34"/>
    <w:rsid w:val="00D75B1E"/>
    <w:rsid w:val="00D76277"/>
    <w:rsid w:val="00D83015"/>
    <w:rsid w:val="00D84B9F"/>
    <w:rsid w:val="00D92092"/>
    <w:rsid w:val="00D95250"/>
    <w:rsid w:val="00D9775C"/>
    <w:rsid w:val="00DA5302"/>
    <w:rsid w:val="00DA5A07"/>
    <w:rsid w:val="00DA782F"/>
    <w:rsid w:val="00DB1127"/>
    <w:rsid w:val="00DB2AFB"/>
    <w:rsid w:val="00DB42FB"/>
    <w:rsid w:val="00DB67DF"/>
    <w:rsid w:val="00DC29B1"/>
    <w:rsid w:val="00DC4699"/>
    <w:rsid w:val="00DC55A4"/>
    <w:rsid w:val="00DD26F8"/>
    <w:rsid w:val="00DE1F48"/>
    <w:rsid w:val="00DE4899"/>
    <w:rsid w:val="00DE6585"/>
    <w:rsid w:val="00DE6B2C"/>
    <w:rsid w:val="00DE7B48"/>
    <w:rsid w:val="00DF1484"/>
    <w:rsid w:val="00DF331F"/>
    <w:rsid w:val="00E02C6B"/>
    <w:rsid w:val="00E0746C"/>
    <w:rsid w:val="00E10F06"/>
    <w:rsid w:val="00E11FFB"/>
    <w:rsid w:val="00E12B70"/>
    <w:rsid w:val="00E12CF6"/>
    <w:rsid w:val="00E12EC8"/>
    <w:rsid w:val="00E2020F"/>
    <w:rsid w:val="00E225C1"/>
    <w:rsid w:val="00E259B3"/>
    <w:rsid w:val="00E27118"/>
    <w:rsid w:val="00E27FB2"/>
    <w:rsid w:val="00E3168D"/>
    <w:rsid w:val="00E36552"/>
    <w:rsid w:val="00E45A4E"/>
    <w:rsid w:val="00E51A97"/>
    <w:rsid w:val="00E53132"/>
    <w:rsid w:val="00E560C9"/>
    <w:rsid w:val="00E56971"/>
    <w:rsid w:val="00E577B0"/>
    <w:rsid w:val="00E607A2"/>
    <w:rsid w:val="00E614B9"/>
    <w:rsid w:val="00E6276E"/>
    <w:rsid w:val="00E64635"/>
    <w:rsid w:val="00E7336C"/>
    <w:rsid w:val="00E74C09"/>
    <w:rsid w:val="00E80122"/>
    <w:rsid w:val="00E9723A"/>
    <w:rsid w:val="00EA04A7"/>
    <w:rsid w:val="00EA0A40"/>
    <w:rsid w:val="00EA126F"/>
    <w:rsid w:val="00EA50BC"/>
    <w:rsid w:val="00EA64A7"/>
    <w:rsid w:val="00EB275F"/>
    <w:rsid w:val="00EB40F3"/>
    <w:rsid w:val="00EC588A"/>
    <w:rsid w:val="00EC6FD0"/>
    <w:rsid w:val="00EC73E1"/>
    <w:rsid w:val="00EF18AA"/>
    <w:rsid w:val="00F03769"/>
    <w:rsid w:val="00F05227"/>
    <w:rsid w:val="00F113EF"/>
    <w:rsid w:val="00F11819"/>
    <w:rsid w:val="00F171F7"/>
    <w:rsid w:val="00F21B6F"/>
    <w:rsid w:val="00F26BF5"/>
    <w:rsid w:val="00F31A7A"/>
    <w:rsid w:val="00F343B7"/>
    <w:rsid w:val="00F34400"/>
    <w:rsid w:val="00F35AB9"/>
    <w:rsid w:val="00F36925"/>
    <w:rsid w:val="00F36F64"/>
    <w:rsid w:val="00F51CA7"/>
    <w:rsid w:val="00F5265B"/>
    <w:rsid w:val="00F612B5"/>
    <w:rsid w:val="00F61CC5"/>
    <w:rsid w:val="00F703FE"/>
    <w:rsid w:val="00F8362D"/>
    <w:rsid w:val="00F83D23"/>
    <w:rsid w:val="00F91F6B"/>
    <w:rsid w:val="00F927D2"/>
    <w:rsid w:val="00F92F93"/>
    <w:rsid w:val="00F9498E"/>
    <w:rsid w:val="00FA0F1E"/>
    <w:rsid w:val="00FA6FC1"/>
    <w:rsid w:val="00FB13BE"/>
    <w:rsid w:val="00FC0390"/>
    <w:rsid w:val="00FC2402"/>
    <w:rsid w:val="00FD25E5"/>
    <w:rsid w:val="00FD5333"/>
    <w:rsid w:val="00FD5D77"/>
    <w:rsid w:val="00FD603F"/>
    <w:rsid w:val="00FE130D"/>
    <w:rsid w:val="00FE14A1"/>
    <w:rsid w:val="00FE1B56"/>
    <w:rsid w:val="00FE1C85"/>
    <w:rsid w:val="00FE7318"/>
    <w:rsid w:val="00FE7541"/>
    <w:rsid w:val="00FF15B8"/>
    <w:rsid w:val="00FF31A5"/>
    <w:rsid w:val="00FF6D8B"/>
    <w:rsid w:val="00FF7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A9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111145"/>
    <w:pPr>
      <w:spacing w:after="240"/>
    </w:pPr>
    <w:rPr>
      <w:rFonts w:ascii="Times New Roman" w:hAnsi="Times New Roman" w:cs="Arial"/>
      <w:sz w:val="24"/>
      <w:szCs w:val="20"/>
    </w:rPr>
  </w:style>
  <w:style w:type="paragraph" w:styleId="Heading1">
    <w:name w:val="heading 1"/>
    <w:basedOn w:val="Normal"/>
    <w:next w:val="Normal"/>
    <w:link w:val="Heading1Char"/>
    <w:uiPriority w:val="99"/>
    <w:qFormat/>
    <w:rsid w:val="00A12A0D"/>
    <w:pPr>
      <w:spacing w:after="0"/>
      <w:jc w:val="center"/>
      <w:outlineLvl w:val="0"/>
    </w:pPr>
    <w:rPr>
      <w:rFonts w:ascii="Arial" w:hAnsi="Arial"/>
      <w:b/>
      <w:bCs/>
      <w:sz w:val="28"/>
      <w:szCs w:val="28"/>
    </w:rPr>
  </w:style>
  <w:style w:type="paragraph" w:styleId="Heading2">
    <w:name w:val="heading 2"/>
    <w:basedOn w:val="Normal"/>
    <w:next w:val="Normal"/>
    <w:link w:val="Heading2Char"/>
    <w:uiPriority w:val="99"/>
    <w:qFormat/>
    <w:rsid w:val="009C263E"/>
    <w:pPr>
      <w:keepNext/>
      <w:keepLines/>
      <w:spacing w:after="120"/>
      <w:outlineLvl w:val="1"/>
    </w:pPr>
    <w:rPr>
      <w:rFonts w:ascii="Arial" w:hAnsi="Arial"/>
      <w:b/>
      <w:bCs/>
      <w:i/>
      <w:sz w:val="28"/>
      <w:szCs w:val="22"/>
    </w:rPr>
  </w:style>
  <w:style w:type="paragraph" w:styleId="Heading3">
    <w:name w:val="heading 3"/>
    <w:basedOn w:val="Normal"/>
    <w:next w:val="Normal"/>
    <w:link w:val="Heading3Char"/>
    <w:uiPriority w:val="99"/>
    <w:qFormat/>
    <w:rsid w:val="00FF31A5"/>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FF31A5"/>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FF31A5"/>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FF31A5"/>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FF31A5"/>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FF31A5"/>
    <w:pPr>
      <w:keepNext/>
      <w:keepLines/>
      <w:spacing w:before="200" w:after="0"/>
      <w:outlineLvl w:val="7"/>
    </w:pPr>
    <w:rPr>
      <w:rFonts w:ascii="Cambria" w:hAnsi="Cambria" w:cs="Cambria"/>
      <w:color w:val="4F81BD"/>
    </w:rPr>
  </w:style>
  <w:style w:type="paragraph" w:styleId="Heading9">
    <w:name w:val="heading 9"/>
    <w:basedOn w:val="Normal"/>
    <w:next w:val="Normal"/>
    <w:link w:val="Heading9Char"/>
    <w:uiPriority w:val="99"/>
    <w:qFormat/>
    <w:rsid w:val="00FF31A5"/>
    <w:pPr>
      <w:keepNext/>
      <w:keepLines/>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2A0D"/>
    <w:rPr>
      <w:rFonts w:ascii="Arial" w:hAnsi="Arial" w:cs="Arial"/>
      <w:b/>
      <w:bCs/>
      <w:sz w:val="28"/>
      <w:szCs w:val="28"/>
    </w:rPr>
  </w:style>
  <w:style w:type="character" w:customStyle="1" w:styleId="Heading2Char">
    <w:name w:val="Heading 2 Char"/>
    <w:basedOn w:val="DefaultParagraphFont"/>
    <w:link w:val="Heading2"/>
    <w:uiPriority w:val="99"/>
    <w:rsid w:val="009C263E"/>
    <w:rPr>
      <w:rFonts w:ascii="Arial" w:hAnsi="Arial" w:cs="Arial"/>
      <w:b/>
      <w:bCs/>
      <w:i/>
      <w:sz w:val="28"/>
    </w:rPr>
  </w:style>
  <w:style w:type="character" w:customStyle="1" w:styleId="Heading3Char">
    <w:name w:val="Heading 3 Char"/>
    <w:basedOn w:val="DefaultParagraphFont"/>
    <w:link w:val="Heading3"/>
    <w:uiPriority w:val="99"/>
    <w:rsid w:val="00FF31A5"/>
    <w:rPr>
      <w:rFonts w:ascii="Cambria" w:hAnsi="Cambria" w:cs="Cambria"/>
      <w:b/>
      <w:bCs/>
      <w:color w:val="4F81BD"/>
    </w:rPr>
  </w:style>
  <w:style w:type="character" w:customStyle="1" w:styleId="Heading4Char">
    <w:name w:val="Heading 4 Char"/>
    <w:basedOn w:val="DefaultParagraphFont"/>
    <w:link w:val="Heading4"/>
    <w:uiPriority w:val="99"/>
    <w:semiHidden/>
    <w:rsid w:val="00FF31A5"/>
    <w:rPr>
      <w:rFonts w:ascii="Cambria" w:hAnsi="Cambria" w:cs="Cambria"/>
      <w:b/>
      <w:bCs/>
      <w:i/>
      <w:iCs/>
      <w:color w:val="4F81BD"/>
    </w:rPr>
  </w:style>
  <w:style w:type="character" w:customStyle="1" w:styleId="Heading5Char">
    <w:name w:val="Heading 5 Char"/>
    <w:basedOn w:val="DefaultParagraphFont"/>
    <w:link w:val="Heading5"/>
    <w:uiPriority w:val="99"/>
    <w:semiHidden/>
    <w:rsid w:val="00FF31A5"/>
    <w:rPr>
      <w:rFonts w:ascii="Cambria" w:hAnsi="Cambria" w:cs="Cambria"/>
      <w:color w:val="243F60"/>
    </w:rPr>
  </w:style>
  <w:style w:type="character" w:customStyle="1" w:styleId="Heading6Char">
    <w:name w:val="Heading 6 Char"/>
    <w:basedOn w:val="DefaultParagraphFont"/>
    <w:link w:val="Heading6"/>
    <w:uiPriority w:val="99"/>
    <w:semiHidden/>
    <w:rsid w:val="00FF31A5"/>
    <w:rPr>
      <w:rFonts w:ascii="Cambria" w:hAnsi="Cambria" w:cs="Cambria"/>
      <w:i/>
      <w:iCs/>
      <w:color w:val="243F60"/>
    </w:rPr>
  </w:style>
  <w:style w:type="character" w:customStyle="1" w:styleId="Heading7Char">
    <w:name w:val="Heading 7 Char"/>
    <w:basedOn w:val="DefaultParagraphFont"/>
    <w:link w:val="Heading7"/>
    <w:uiPriority w:val="99"/>
    <w:semiHidden/>
    <w:rsid w:val="00FF31A5"/>
    <w:rPr>
      <w:rFonts w:ascii="Cambria" w:hAnsi="Cambria" w:cs="Cambria"/>
      <w:i/>
      <w:iCs/>
      <w:color w:val="404040"/>
    </w:rPr>
  </w:style>
  <w:style w:type="character" w:customStyle="1" w:styleId="Heading8Char">
    <w:name w:val="Heading 8 Char"/>
    <w:basedOn w:val="DefaultParagraphFont"/>
    <w:link w:val="Heading8"/>
    <w:uiPriority w:val="99"/>
    <w:semiHidden/>
    <w:rsid w:val="00FF31A5"/>
    <w:rPr>
      <w:rFonts w:ascii="Cambria" w:hAnsi="Cambria" w:cs="Cambria"/>
      <w:color w:val="4F81BD"/>
      <w:sz w:val="20"/>
      <w:szCs w:val="20"/>
    </w:rPr>
  </w:style>
  <w:style w:type="character" w:customStyle="1" w:styleId="Heading9Char">
    <w:name w:val="Heading 9 Char"/>
    <w:basedOn w:val="DefaultParagraphFont"/>
    <w:link w:val="Heading9"/>
    <w:uiPriority w:val="99"/>
    <w:semiHidden/>
    <w:rsid w:val="00FF31A5"/>
    <w:rPr>
      <w:rFonts w:ascii="Cambria" w:hAnsi="Cambria" w:cs="Cambria"/>
      <w:i/>
      <w:iCs/>
      <w:color w:val="404040"/>
      <w:sz w:val="20"/>
      <w:szCs w:val="20"/>
    </w:rPr>
  </w:style>
  <w:style w:type="paragraph" w:styleId="Title">
    <w:name w:val="Title"/>
    <w:basedOn w:val="Normal"/>
    <w:next w:val="Normal"/>
    <w:link w:val="TitleChar"/>
    <w:uiPriority w:val="99"/>
    <w:qFormat/>
    <w:rsid w:val="00C05443"/>
    <w:pPr>
      <w:spacing w:after="300"/>
      <w:contextualSpacing/>
      <w:jc w:val="center"/>
    </w:pPr>
    <w:rPr>
      <w:b/>
      <w:bCs/>
      <w:spacing w:val="5"/>
      <w:kern w:val="28"/>
      <w:sz w:val="32"/>
      <w:szCs w:val="32"/>
    </w:rPr>
  </w:style>
  <w:style w:type="character" w:customStyle="1" w:styleId="TitleChar">
    <w:name w:val="Title Char"/>
    <w:basedOn w:val="DefaultParagraphFont"/>
    <w:link w:val="Title"/>
    <w:uiPriority w:val="99"/>
    <w:rsid w:val="00C05443"/>
    <w:rPr>
      <w:rFonts w:ascii="Arial" w:hAnsi="Arial" w:cs="Arial"/>
      <w:b/>
      <w:bCs/>
      <w:spacing w:val="5"/>
      <w:kern w:val="28"/>
      <w:sz w:val="52"/>
      <w:szCs w:val="52"/>
    </w:rPr>
  </w:style>
  <w:style w:type="paragraph" w:styleId="Subtitle">
    <w:name w:val="Subtitle"/>
    <w:basedOn w:val="Normal"/>
    <w:next w:val="Normal"/>
    <w:link w:val="SubtitleChar"/>
    <w:uiPriority w:val="99"/>
    <w:qFormat/>
    <w:rsid w:val="00FF31A5"/>
    <w:pPr>
      <w:numPr>
        <w:ilvl w:val="1"/>
      </w:numPr>
    </w:pPr>
    <w:rPr>
      <w:rFonts w:ascii="Cambria" w:hAnsi="Cambria" w:cs="Cambria"/>
      <w:i/>
      <w:iCs/>
      <w:color w:val="4F81BD"/>
      <w:spacing w:val="15"/>
      <w:szCs w:val="24"/>
    </w:rPr>
  </w:style>
  <w:style w:type="character" w:customStyle="1" w:styleId="SubtitleChar">
    <w:name w:val="Subtitle Char"/>
    <w:basedOn w:val="DefaultParagraphFont"/>
    <w:link w:val="Subtitle"/>
    <w:uiPriority w:val="99"/>
    <w:rsid w:val="00FF31A5"/>
    <w:rPr>
      <w:rFonts w:ascii="Cambria" w:hAnsi="Cambria" w:cs="Cambria"/>
      <w:i/>
      <w:iCs/>
      <w:color w:val="4F81BD"/>
      <w:spacing w:val="15"/>
      <w:sz w:val="24"/>
      <w:szCs w:val="24"/>
    </w:rPr>
  </w:style>
  <w:style w:type="character" w:styleId="Strong">
    <w:name w:val="Strong"/>
    <w:basedOn w:val="DefaultParagraphFont"/>
    <w:uiPriority w:val="99"/>
    <w:qFormat/>
    <w:rsid w:val="00FF31A5"/>
    <w:rPr>
      <w:b/>
      <w:bCs/>
    </w:rPr>
  </w:style>
  <w:style w:type="character" w:styleId="Emphasis">
    <w:name w:val="Emphasis"/>
    <w:basedOn w:val="DefaultParagraphFont"/>
    <w:uiPriority w:val="20"/>
    <w:qFormat/>
    <w:rsid w:val="00FF31A5"/>
    <w:rPr>
      <w:i/>
      <w:iCs/>
    </w:rPr>
  </w:style>
  <w:style w:type="paragraph" w:styleId="NoSpacing">
    <w:name w:val="No Spacing"/>
    <w:link w:val="NoSpacingChar"/>
    <w:uiPriority w:val="99"/>
    <w:qFormat/>
    <w:rsid w:val="00FF31A5"/>
    <w:rPr>
      <w:rFonts w:cs="Calibri"/>
    </w:rPr>
  </w:style>
  <w:style w:type="paragraph" w:styleId="ListParagraph">
    <w:name w:val="List Paragraph"/>
    <w:aliases w:val="bulleted indent"/>
    <w:basedOn w:val="Normal"/>
    <w:uiPriority w:val="99"/>
    <w:qFormat/>
    <w:rsid w:val="00C05443"/>
    <w:pPr>
      <w:numPr>
        <w:numId w:val="3"/>
      </w:numPr>
      <w:spacing w:line="260" w:lineRule="exact"/>
      <w:contextualSpacing/>
    </w:pPr>
  </w:style>
  <w:style w:type="paragraph" w:styleId="Quote">
    <w:name w:val="Quote"/>
    <w:basedOn w:val="Normal"/>
    <w:next w:val="Normal"/>
    <w:link w:val="QuoteChar"/>
    <w:uiPriority w:val="99"/>
    <w:qFormat/>
    <w:rsid w:val="00FF31A5"/>
    <w:rPr>
      <w:i/>
      <w:iCs/>
      <w:color w:val="000000"/>
    </w:rPr>
  </w:style>
  <w:style w:type="character" w:customStyle="1" w:styleId="QuoteChar">
    <w:name w:val="Quote Char"/>
    <w:basedOn w:val="DefaultParagraphFont"/>
    <w:link w:val="Quote"/>
    <w:uiPriority w:val="99"/>
    <w:rsid w:val="00FF31A5"/>
    <w:rPr>
      <w:i/>
      <w:iCs/>
      <w:color w:val="000000"/>
    </w:rPr>
  </w:style>
  <w:style w:type="paragraph" w:styleId="IntenseQuote">
    <w:name w:val="Intense Quote"/>
    <w:basedOn w:val="Normal"/>
    <w:next w:val="Normal"/>
    <w:link w:val="IntenseQuoteChar"/>
    <w:uiPriority w:val="99"/>
    <w:qFormat/>
    <w:rsid w:val="00FF31A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FF31A5"/>
    <w:rPr>
      <w:b/>
      <w:bCs/>
      <w:i/>
      <w:iCs/>
      <w:color w:val="4F81BD"/>
    </w:rPr>
  </w:style>
  <w:style w:type="character" w:styleId="SubtleEmphasis">
    <w:name w:val="Subtle Emphasis"/>
    <w:basedOn w:val="DefaultParagraphFont"/>
    <w:uiPriority w:val="99"/>
    <w:qFormat/>
    <w:rsid w:val="00FF31A5"/>
    <w:rPr>
      <w:i/>
      <w:iCs/>
      <w:color w:val="808080"/>
    </w:rPr>
  </w:style>
  <w:style w:type="character" w:styleId="IntenseEmphasis">
    <w:name w:val="Intense Emphasis"/>
    <w:basedOn w:val="DefaultParagraphFont"/>
    <w:uiPriority w:val="99"/>
    <w:qFormat/>
    <w:rsid w:val="00FF31A5"/>
    <w:rPr>
      <w:b/>
      <w:bCs/>
      <w:i/>
      <w:iCs/>
      <w:color w:val="4F81BD"/>
    </w:rPr>
  </w:style>
  <w:style w:type="character" w:styleId="SubtleReference">
    <w:name w:val="Subtle Reference"/>
    <w:basedOn w:val="DefaultParagraphFont"/>
    <w:uiPriority w:val="99"/>
    <w:qFormat/>
    <w:rsid w:val="00FF31A5"/>
    <w:rPr>
      <w:smallCaps/>
      <w:color w:val="C0504D"/>
      <w:u w:val="single"/>
    </w:rPr>
  </w:style>
  <w:style w:type="character" w:styleId="IntenseReference">
    <w:name w:val="Intense Reference"/>
    <w:basedOn w:val="DefaultParagraphFont"/>
    <w:uiPriority w:val="99"/>
    <w:qFormat/>
    <w:rsid w:val="00FF31A5"/>
    <w:rPr>
      <w:b/>
      <w:bCs/>
      <w:smallCaps/>
      <w:color w:val="C0504D"/>
      <w:spacing w:val="5"/>
      <w:u w:val="single"/>
    </w:rPr>
  </w:style>
  <w:style w:type="character" w:styleId="BookTitle">
    <w:name w:val="Book Title"/>
    <w:basedOn w:val="DefaultParagraphFont"/>
    <w:uiPriority w:val="99"/>
    <w:qFormat/>
    <w:rsid w:val="00FF31A5"/>
    <w:rPr>
      <w:b/>
      <w:bCs/>
      <w:smallCaps/>
      <w:spacing w:val="5"/>
    </w:rPr>
  </w:style>
  <w:style w:type="paragraph" w:styleId="TOCHeading">
    <w:name w:val="TOC Heading"/>
    <w:basedOn w:val="Heading1"/>
    <w:next w:val="Normal"/>
    <w:uiPriority w:val="99"/>
    <w:qFormat/>
    <w:rsid w:val="00FF31A5"/>
    <w:pPr>
      <w:outlineLvl w:val="9"/>
    </w:pPr>
  </w:style>
  <w:style w:type="paragraph" w:customStyle="1" w:styleId="PersonalName">
    <w:name w:val="Personal Name"/>
    <w:basedOn w:val="Title"/>
    <w:uiPriority w:val="99"/>
    <w:rsid w:val="00FF31A5"/>
    <w:rPr>
      <w:caps/>
      <w:color w:val="000000"/>
      <w:sz w:val="28"/>
      <w:szCs w:val="28"/>
    </w:rPr>
  </w:style>
  <w:style w:type="paragraph" w:styleId="Caption">
    <w:name w:val="caption"/>
    <w:basedOn w:val="Normal"/>
    <w:next w:val="Normal"/>
    <w:uiPriority w:val="99"/>
    <w:qFormat/>
    <w:rsid w:val="00FF31A5"/>
    <w:rPr>
      <w:b/>
      <w:bCs/>
      <w:color w:val="4F81BD"/>
      <w:sz w:val="18"/>
      <w:szCs w:val="18"/>
    </w:rPr>
  </w:style>
  <w:style w:type="character" w:customStyle="1" w:styleId="NoSpacingChar">
    <w:name w:val="No Spacing Char"/>
    <w:basedOn w:val="DefaultParagraphFont"/>
    <w:link w:val="NoSpacing"/>
    <w:uiPriority w:val="99"/>
    <w:rsid w:val="00FF31A5"/>
    <w:rPr>
      <w:sz w:val="22"/>
      <w:szCs w:val="22"/>
      <w:lang w:val="en-US" w:eastAsia="en-US"/>
    </w:rPr>
  </w:style>
  <w:style w:type="character" w:styleId="CommentReference">
    <w:name w:val="annotation reference"/>
    <w:basedOn w:val="DefaultParagraphFont"/>
    <w:uiPriority w:val="99"/>
    <w:semiHidden/>
    <w:rsid w:val="004E689E"/>
    <w:rPr>
      <w:sz w:val="16"/>
      <w:szCs w:val="16"/>
    </w:rPr>
  </w:style>
  <w:style w:type="paragraph" w:styleId="CommentText">
    <w:name w:val="annotation text"/>
    <w:basedOn w:val="Normal"/>
    <w:link w:val="CommentTextChar"/>
    <w:uiPriority w:val="99"/>
    <w:semiHidden/>
    <w:rsid w:val="004E689E"/>
  </w:style>
  <w:style w:type="character" w:customStyle="1" w:styleId="CommentTextChar">
    <w:name w:val="Comment Text Char"/>
    <w:basedOn w:val="DefaultParagraphFont"/>
    <w:link w:val="CommentText"/>
    <w:uiPriority w:val="99"/>
    <w:semiHidden/>
    <w:rsid w:val="004E689E"/>
    <w:rPr>
      <w:sz w:val="20"/>
      <w:szCs w:val="20"/>
    </w:rPr>
  </w:style>
  <w:style w:type="paragraph" w:styleId="CommentSubject">
    <w:name w:val="annotation subject"/>
    <w:basedOn w:val="CommentText"/>
    <w:next w:val="CommentText"/>
    <w:link w:val="CommentSubjectChar"/>
    <w:uiPriority w:val="99"/>
    <w:semiHidden/>
    <w:rsid w:val="004E689E"/>
    <w:rPr>
      <w:b/>
      <w:bCs/>
    </w:rPr>
  </w:style>
  <w:style w:type="character" w:customStyle="1" w:styleId="CommentSubjectChar">
    <w:name w:val="Comment Subject Char"/>
    <w:basedOn w:val="CommentTextChar"/>
    <w:link w:val="CommentSubject"/>
    <w:uiPriority w:val="99"/>
    <w:semiHidden/>
    <w:rsid w:val="004E689E"/>
    <w:rPr>
      <w:b/>
      <w:bCs/>
      <w:sz w:val="20"/>
      <w:szCs w:val="20"/>
    </w:rPr>
  </w:style>
  <w:style w:type="paragraph" w:styleId="BalloonText">
    <w:name w:val="Balloon Text"/>
    <w:basedOn w:val="Normal"/>
    <w:link w:val="BalloonTextChar"/>
    <w:uiPriority w:val="99"/>
    <w:semiHidden/>
    <w:rsid w:val="004E68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89E"/>
    <w:rPr>
      <w:rFonts w:ascii="Tahoma" w:hAnsi="Tahoma" w:cs="Tahoma"/>
      <w:sz w:val="16"/>
      <w:szCs w:val="16"/>
    </w:rPr>
  </w:style>
  <w:style w:type="table" w:styleId="LightShading-Accent2">
    <w:name w:val="Light Shading Accent 2"/>
    <w:basedOn w:val="TableNormal"/>
    <w:uiPriority w:val="99"/>
    <w:rsid w:val="00FA6FC1"/>
    <w:rPr>
      <w:rFonts w:cs="Calibri"/>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Grid">
    <w:name w:val="Table Grid"/>
    <w:basedOn w:val="TableNormal"/>
    <w:uiPriority w:val="99"/>
    <w:rsid w:val="00FA6FC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C0390"/>
    <w:rPr>
      <w:color w:val="0000FF"/>
      <w:u w:val="single"/>
    </w:rPr>
  </w:style>
  <w:style w:type="paragraph" w:styleId="Header">
    <w:name w:val="header"/>
    <w:basedOn w:val="Normal"/>
    <w:link w:val="HeaderChar"/>
    <w:uiPriority w:val="99"/>
    <w:rsid w:val="00B160B1"/>
    <w:pPr>
      <w:tabs>
        <w:tab w:val="center" w:pos="4680"/>
        <w:tab w:val="right" w:pos="9360"/>
      </w:tabs>
      <w:spacing w:after="0"/>
    </w:pPr>
  </w:style>
  <w:style w:type="character" w:customStyle="1" w:styleId="HeaderChar">
    <w:name w:val="Header Char"/>
    <w:basedOn w:val="DefaultParagraphFont"/>
    <w:link w:val="Header"/>
    <w:uiPriority w:val="99"/>
    <w:rsid w:val="00B160B1"/>
    <w:rPr>
      <w:rFonts w:ascii="Arial" w:hAnsi="Arial" w:cs="Arial"/>
      <w:sz w:val="20"/>
      <w:szCs w:val="20"/>
    </w:rPr>
  </w:style>
  <w:style w:type="paragraph" w:styleId="Footer">
    <w:name w:val="footer"/>
    <w:basedOn w:val="Normal"/>
    <w:link w:val="FooterChar"/>
    <w:uiPriority w:val="99"/>
    <w:rsid w:val="00B160B1"/>
    <w:pPr>
      <w:tabs>
        <w:tab w:val="center" w:pos="4680"/>
        <w:tab w:val="right" w:pos="9360"/>
      </w:tabs>
      <w:spacing w:after="0"/>
    </w:pPr>
  </w:style>
  <w:style w:type="character" w:customStyle="1" w:styleId="FooterChar">
    <w:name w:val="Footer Char"/>
    <w:basedOn w:val="DefaultParagraphFont"/>
    <w:link w:val="Footer"/>
    <w:uiPriority w:val="99"/>
    <w:rsid w:val="00B160B1"/>
    <w:rPr>
      <w:rFonts w:ascii="Arial" w:hAnsi="Arial" w:cs="Arial"/>
      <w:sz w:val="20"/>
      <w:szCs w:val="20"/>
    </w:rPr>
  </w:style>
  <w:style w:type="paragraph" w:styleId="Revision">
    <w:name w:val="Revision"/>
    <w:hidden/>
    <w:uiPriority w:val="99"/>
    <w:semiHidden/>
    <w:rsid w:val="002B5735"/>
    <w:rPr>
      <w:rFonts w:ascii="Arial" w:hAnsi="Arial" w:cs="Arial"/>
      <w:sz w:val="20"/>
      <w:szCs w:val="20"/>
    </w:rPr>
  </w:style>
  <w:style w:type="paragraph" w:styleId="FootnoteText">
    <w:name w:val="footnote text"/>
    <w:basedOn w:val="Normal"/>
    <w:link w:val="FootnoteTextChar"/>
    <w:uiPriority w:val="99"/>
    <w:unhideWhenUsed/>
    <w:rsid w:val="001333AC"/>
    <w:pPr>
      <w:spacing w:after="0"/>
    </w:pPr>
    <w:rPr>
      <w:sz w:val="20"/>
    </w:rPr>
  </w:style>
  <w:style w:type="character" w:customStyle="1" w:styleId="FootnoteTextChar">
    <w:name w:val="Footnote Text Char"/>
    <w:basedOn w:val="DefaultParagraphFont"/>
    <w:link w:val="FootnoteText"/>
    <w:uiPriority w:val="99"/>
    <w:rsid w:val="001333AC"/>
    <w:rPr>
      <w:rFonts w:ascii="Times New Roman" w:hAnsi="Times New Roman" w:cs="Arial"/>
      <w:sz w:val="20"/>
      <w:szCs w:val="20"/>
    </w:rPr>
  </w:style>
  <w:style w:type="character" w:styleId="FootnoteReference">
    <w:name w:val="footnote reference"/>
    <w:basedOn w:val="DefaultParagraphFont"/>
    <w:uiPriority w:val="99"/>
    <w:semiHidden/>
    <w:unhideWhenUsed/>
    <w:rsid w:val="001333AC"/>
    <w:rPr>
      <w:vertAlign w:val="superscript"/>
    </w:rPr>
  </w:style>
  <w:style w:type="paragraph" w:styleId="ListBullet2">
    <w:name w:val="List Bullet 2"/>
    <w:basedOn w:val="Normal"/>
    <w:uiPriority w:val="99"/>
    <w:unhideWhenUsed/>
    <w:rsid w:val="009C263E"/>
    <w:pPr>
      <w:numPr>
        <w:numId w:val="13"/>
      </w:numPr>
      <w:contextualSpacing/>
    </w:pPr>
  </w:style>
  <w:style w:type="paragraph" w:styleId="ListBullet3">
    <w:name w:val="List Bullet 3"/>
    <w:basedOn w:val="Normal"/>
    <w:uiPriority w:val="99"/>
    <w:unhideWhenUsed/>
    <w:rsid w:val="00B50354"/>
    <w:pPr>
      <w:numPr>
        <w:numId w:val="14"/>
      </w:numPr>
      <w:contextualSpacing/>
    </w:pPr>
  </w:style>
  <w:style w:type="character" w:styleId="FollowedHyperlink">
    <w:name w:val="FollowedHyperlink"/>
    <w:basedOn w:val="DefaultParagraphFont"/>
    <w:uiPriority w:val="99"/>
    <w:semiHidden/>
    <w:unhideWhenUsed/>
    <w:rsid w:val="00CA3C08"/>
    <w:rPr>
      <w:color w:val="800080" w:themeColor="followedHyperlink"/>
      <w:u w:val="single"/>
    </w:rPr>
  </w:style>
  <w:style w:type="character" w:customStyle="1" w:styleId="highlight">
    <w:name w:val="highlight"/>
    <w:basedOn w:val="DefaultParagraphFont"/>
    <w:rsid w:val="001927C8"/>
  </w:style>
  <w:style w:type="paragraph" w:customStyle="1" w:styleId="TableTitle">
    <w:name w:val="TableTitle"/>
    <w:basedOn w:val="Normal"/>
    <w:qFormat/>
    <w:rsid w:val="002E214C"/>
    <w:pPr>
      <w:keepNext/>
      <w:spacing w:after="60"/>
    </w:pPr>
    <w:rPr>
      <w:rFonts w:ascii="Arial" w:hAnsi="Arial"/>
      <w:b/>
      <w:bCs/>
      <w:color w:val="000000"/>
      <w:sz w:val="20"/>
      <w:szCs w:val="22"/>
    </w:rPr>
  </w:style>
  <w:style w:type="paragraph" w:customStyle="1" w:styleId="TableText">
    <w:name w:val="Table Text"/>
    <w:basedOn w:val="Normal"/>
    <w:qFormat/>
    <w:rsid w:val="007D7C4D"/>
    <w:pPr>
      <w:spacing w:after="0"/>
    </w:pPr>
    <w:rPr>
      <w:rFonts w:ascii="Arial" w:hAnsi="Arial"/>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111145"/>
    <w:pPr>
      <w:spacing w:after="240"/>
    </w:pPr>
    <w:rPr>
      <w:rFonts w:ascii="Times New Roman" w:hAnsi="Times New Roman" w:cs="Arial"/>
      <w:sz w:val="24"/>
      <w:szCs w:val="20"/>
    </w:rPr>
  </w:style>
  <w:style w:type="paragraph" w:styleId="Heading1">
    <w:name w:val="heading 1"/>
    <w:basedOn w:val="Normal"/>
    <w:next w:val="Normal"/>
    <w:link w:val="Heading1Char"/>
    <w:uiPriority w:val="99"/>
    <w:qFormat/>
    <w:rsid w:val="00A12A0D"/>
    <w:pPr>
      <w:spacing w:after="0"/>
      <w:jc w:val="center"/>
      <w:outlineLvl w:val="0"/>
    </w:pPr>
    <w:rPr>
      <w:rFonts w:ascii="Arial" w:hAnsi="Arial"/>
      <w:b/>
      <w:bCs/>
      <w:sz w:val="28"/>
      <w:szCs w:val="28"/>
    </w:rPr>
  </w:style>
  <w:style w:type="paragraph" w:styleId="Heading2">
    <w:name w:val="heading 2"/>
    <w:basedOn w:val="Normal"/>
    <w:next w:val="Normal"/>
    <w:link w:val="Heading2Char"/>
    <w:uiPriority w:val="99"/>
    <w:qFormat/>
    <w:rsid w:val="009C263E"/>
    <w:pPr>
      <w:keepNext/>
      <w:keepLines/>
      <w:spacing w:after="120"/>
      <w:outlineLvl w:val="1"/>
    </w:pPr>
    <w:rPr>
      <w:rFonts w:ascii="Arial" w:hAnsi="Arial"/>
      <w:b/>
      <w:bCs/>
      <w:i/>
      <w:sz w:val="28"/>
      <w:szCs w:val="22"/>
    </w:rPr>
  </w:style>
  <w:style w:type="paragraph" w:styleId="Heading3">
    <w:name w:val="heading 3"/>
    <w:basedOn w:val="Normal"/>
    <w:next w:val="Normal"/>
    <w:link w:val="Heading3Char"/>
    <w:uiPriority w:val="99"/>
    <w:qFormat/>
    <w:rsid w:val="00FF31A5"/>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FF31A5"/>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FF31A5"/>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FF31A5"/>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FF31A5"/>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FF31A5"/>
    <w:pPr>
      <w:keepNext/>
      <w:keepLines/>
      <w:spacing w:before="200" w:after="0"/>
      <w:outlineLvl w:val="7"/>
    </w:pPr>
    <w:rPr>
      <w:rFonts w:ascii="Cambria" w:hAnsi="Cambria" w:cs="Cambria"/>
      <w:color w:val="4F81BD"/>
    </w:rPr>
  </w:style>
  <w:style w:type="paragraph" w:styleId="Heading9">
    <w:name w:val="heading 9"/>
    <w:basedOn w:val="Normal"/>
    <w:next w:val="Normal"/>
    <w:link w:val="Heading9Char"/>
    <w:uiPriority w:val="99"/>
    <w:qFormat/>
    <w:rsid w:val="00FF31A5"/>
    <w:pPr>
      <w:keepNext/>
      <w:keepLines/>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2A0D"/>
    <w:rPr>
      <w:rFonts w:ascii="Arial" w:hAnsi="Arial" w:cs="Arial"/>
      <w:b/>
      <w:bCs/>
      <w:sz w:val="28"/>
      <w:szCs w:val="28"/>
    </w:rPr>
  </w:style>
  <w:style w:type="character" w:customStyle="1" w:styleId="Heading2Char">
    <w:name w:val="Heading 2 Char"/>
    <w:basedOn w:val="DefaultParagraphFont"/>
    <w:link w:val="Heading2"/>
    <w:uiPriority w:val="99"/>
    <w:rsid w:val="009C263E"/>
    <w:rPr>
      <w:rFonts w:ascii="Arial" w:hAnsi="Arial" w:cs="Arial"/>
      <w:b/>
      <w:bCs/>
      <w:i/>
      <w:sz w:val="28"/>
    </w:rPr>
  </w:style>
  <w:style w:type="character" w:customStyle="1" w:styleId="Heading3Char">
    <w:name w:val="Heading 3 Char"/>
    <w:basedOn w:val="DefaultParagraphFont"/>
    <w:link w:val="Heading3"/>
    <w:uiPriority w:val="99"/>
    <w:rsid w:val="00FF31A5"/>
    <w:rPr>
      <w:rFonts w:ascii="Cambria" w:hAnsi="Cambria" w:cs="Cambria"/>
      <w:b/>
      <w:bCs/>
      <w:color w:val="4F81BD"/>
    </w:rPr>
  </w:style>
  <w:style w:type="character" w:customStyle="1" w:styleId="Heading4Char">
    <w:name w:val="Heading 4 Char"/>
    <w:basedOn w:val="DefaultParagraphFont"/>
    <w:link w:val="Heading4"/>
    <w:uiPriority w:val="99"/>
    <w:semiHidden/>
    <w:rsid w:val="00FF31A5"/>
    <w:rPr>
      <w:rFonts w:ascii="Cambria" w:hAnsi="Cambria" w:cs="Cambria"/>
      <w:b/>
      <w:bCs/>
      <w:i/>
      <w:iCs/>
      <w:color w:val="4F81BD"/>
    </w:rPr>
  </w:style>
  <w:style w:type="character" w:customStyle="1" w:styleId="Heading5Char">
    <w:name w:val="Heading 5 Char"/>
    <w:basedOn w:val="DefaultParagraphFont"/>
    <w:link w:val="Heading5"/>
    <w:uiPriority w:val="99"/>
    <w:semiHidden/>
    <w:rsid w:val="00FF31A5"/>
    <w:rPr>
      <w:rFonts w:ascii="Cambria" w:hAnsi="Cambria" w:cs="Cambria"/>
      <w:color w:val="243F60"/>
    </w:rPr>
  </w:style>
  <w:style w:type="character" w:customStyle="1" w:styleId="Heading6Char">
    <w:name w:val="Heading 6 Char"/>
    <w:basedOn w:val="DefaultParagraphFont"/>
    <w:link w:val="Heading6"/>
    <w:uiPriority w:val="99"/>
    <w:semiHidden/>
    <w:rsid w:val="00FF31A5"/>
    <w:rPr>
      <w:rFonts w:ascii="Cambria" w:hAnsi="Cambria" w:cs="Cambria"/>
      <w:i/>
      <w:iCs/>
      <w:color w:val="243F60"/>
    </w:rPr>
  </w:style>
  <w:style w:type="character" w:customStyle="1" w:styleId="Heading7Char">
    <w:name w:val="Heading 7 Char"/>
    <w:basedOn w:val="DefaultParagraphFont"/>
    <w:link w:val="Heading7"/>
    <w:uiPriority w:val="99"/>
    <w:semiHidden/>
    <w:rsid w:val="00FF31A5"/>
    <w:rPr>
      <w:rFonts w:ascii="Cambria" w:hAnsi="Cambria" w:cs="Cambria"/>
      <w:i/>
      <w:iCs/>
      <w:color w:val="404040"/>
    </w:rPr>
  </w:style>
  <w:style w:type="character" w:customStyle="1" w:styleId="Heading8Char">
    <w:name w:val="Heading 8 Char"/>
    <w:basedOn w:val="DefaultParagraphFont"/>
    <w:link w:val="Heading8"/>
    <w:uiPriority w:val="99"/>
    <w:semiHidden/>
    <w:rsid w:val="00FF31A5"/>
    <w:rPr>
      <w:rFonts w:ascii="Cambria" w:hAnsi="Cambria" w:cs="Cambria"/>
      <w:color w:val="4F81BD"/>
      <w:sz w:val="20"/>
      <w:szCs w:val="20"/>
    </w:rPr>
  </w:style>
  <w:style w:type="character" w:customStyle="1" w:styleId="Heading9Char">
    <w:name w:val="Heading 9 Char"/>
    <w:basedOn w:val="DefaultParagraphFont"/>
    <w:link w:val="Heading9"/>
    <w:uiPriority w:val="99"/>
    <w:semiHidden/>
    <w:rsid w:val="00FF31A5"/>
    <w:rPr>
      <w:rFonts w:ascii="Cambria" w:hAnsi="Cambria" w:cs="Cambria"/>
      <w:i/>
      <w:iCs/>
      <w:color w:val="404040"/>
      <w:sz w:val="20"/>
      <w:szCs w:val="20"/>
    </w:rPr>
  </w:style>
  <w:style w:type="paragraph" w:styleId="Title">
    <w:name w:val="Title"/>
    <w:basedOn w:val="Normal"/>
    <w:next w:val="Normal"/>
    <w:link w:val="TitleChar"/>
    <w:uiPriority w:val="99"/>
    <w:qFormat/>
    <w:rsid w:val="00C05443"/>
    <w:pPr>
      <w:spacing w:after="300"/>
      <w:contextualSpacing/>
      <w:jc w:val="center"/>
    </w:pPr>
    <w:rPr>
      <w:b/>
      <w:bCs/>
      <w:spacing w:val="5"/>
      <w:kern w:val="28"/>
      <w:sz w:val="32"/>
      <w:szCs w:val="32"/>
    </w:rPr>
  </w:style>
  <w:style w:type="character" w:customStyle="1" w:styleId="TitleChar">
    <w:name w:val="Title Char"/>
    <w:basedOn w:val="DefaultParagraphFont"/>
    <w:link w:val="Title"/>
    <w:uiPriority w:val="99"/>
    <w:rsid w:val="00C05443"/>
    <w:rPr>
      <w:rFonts w:ascii="Arial" w:hAnsi="Arial" w:cs="Arial"/>
      <w:b/>
      <w:bCs/>
      <w:spacing w:val="5"/>
      <w:kern w:val="28"/>
      <w:sz w:val="52"/>
      <w:szCs w:val="52"/>
    </w:rPr>
  </w:style>
  <w:style w:type="paragraph" w:styleId="Subtitle">
    <w:name w:val="Subtitle"/>
    <w:basedOn w:val="Normal"/>
    <w:next w:val="Normal"/>
    <w:link w:val="SubtitleChar"/>
    <w:uiPriority w:val="99"/>
    <w:qFormat/>
    <w:rsid w:val="00FF31A5"/>
    <w:pPr>
      <w:numPr>
        <w:ilvl w:val="1"/>
      </w:numPr>
    </w:pPr>
    <w:rPr>
      <w:rFonts w:ascii="Cambria" w:hAnsi="Cambria" w:cs="Cambria"/>
      <w:i/>
      <w:iCs/>
      <w:color w:val="4F81BD"/>
      <w:spacing w:val="15"/>
      <w:szCs w:val="24"/>
    </w:rPr>
  </w:style>
  <w:style w:type="character" w:customStyle="1" w:styleId="SubtitleChar">
    <w:name w:val="Subtitle Char"/>
    <w:basedOn w:val="DefaultParagraphFont"/>
    <w:link w:val="Subtitle"/>
    <w:uiPriority w:val="99"/>
    <w:rsid w:val="00FF31A5"/>
    <w:rPr>
      <w:rFonts w:ascii="Cambria" w:hAnsi="Cambria" w:cs="Cambria"/>
      <w:i/>
      <w:iCs/>
      <w:color w:val="4F81BD"/>
      <w:spacing w:val="15"/>
      <w:sz w:val="24"/>
      <w:szCs w:val="24"/>
    </w:rPr>
  </w:style>
  <w:style w:type="character" w:styleId="Strong">
    <w:name w:val="Strong"/>
    <w:basedOn w:val="DefaultParagraphFont"/>
    <w:uiPriority w:val="99"/>
    <w:qFormat/>
    <w:rsid w:val="00FF31A5"/>
    <w:rPr>
      <w:b/>
      <w:bCs/>
    </w:rPr>
  </w:style>
  <w:style w:type="character" w:styleId="Emphasis">
    <w:name w:val="Emphasis"/>
    <w:basedOn w:val="DefaultParagraphFont"/>
    <w:uiPriority w:val="20"/>
    <w:qFormat/>
    <w:rsid w:val="00FF31A5"/>
    <w:rPr>
      <w:i/>
      <w:iCs/>
    </w:rPr>
  </w:style>
  <w:style w:type="paragraph" w:styleId="NoSpacing">
    <w:name w:val="No Spacing"/>
    <w:link w:val="NoSpacingChar"/>
    <w:uiPriority w:val="99"/>
    <w:qFormat/>
    <w:rsid w:val="00FF31A5"/>
    <w:rPr>
      <w:rFonts w:cs="Calibri"/>
    </w:rPr>
  </w:style>
  <w:style w:type="paragraph" w:styleId="ListParagraph">
    <w:name w:val="List Paragraph"/>
    <w:aliases w:val="bulleted indent"/>
    <w:basedOn w:val="Normal"/>
    <w:uiPriority w:val="99"/>
    <w:qFormat/>
    <w:rsid w:val="00C05443"/>
    <w:pPr>
      <w:numPr>
        <w:numId w:val="3"/>
      </w:numPr>
      <w:spacing w:line="260" w:lineRule="exact"/>
      <w:contextualSpacing/>
    </w:pPr>
  </w:style>
  <w:style w:type="paragraph" w:styleId="Quote">
    <w:name w:val="Quote"/>
    <w:basedOn w:val="Normal"/>
    <w:next w:val="Normal"/>
    <w:link w:val="QuoteChar"/>
    <w:uiPriority w:val="99"/>
    <w:qFormat/>
    <w:rsid w:val="00FF31A5"/>
    <w:rPr>
      <w:i/>
      <w:iCs/>
      <w:color w:val="000000"/>
    </w:rPr>
  </w:style>
  <w:style w:type="character" w:customStyle="1" w:styleId="QuoteChar">
    <w:name w:val="Quote Char"/>
    <w:basedOn w:val="DefaultParagraphFont"/>
    <w:link w:val="Quote"/>
    <w:uiPriority w:val="99"/>
    <w:rsid w:val="00FF31A5"/>
    <w:rPr>
      <w:i/>
      <w:iCs/>
      <w:color w:val="000000"/>
    </w:rPr>
  </w:style>
  <w:style w:type="paragraph" w:styleId="IntenseQuote">
    <w:name w:val="Intense Quote"/>
    <w:basedOn w:val="Normal"/>
    <w:next w:val="Normal"/>
    <w:link w:val="IntenseQuoteChar"/>
    <w:uiPriority w:val="99"/>
    <w:qFormat/>
    <w:rsid w:val="00FF31A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FF31A5"/>
    <w:rPr>
      <w:b/>
      <w:bCs/>
      <w:i/>
      <w:iCs/>
      <w:color w:val="4F81BD"/>
    </w:rPr>
  </w:style>
  <w:style w:type="character" w:styleId="SubtleEmphasis">
    <w:name w:val="Subtle Emphasis"/>
    <w:basedOn w:val="DefaultParagraphFont"/>
    <w:uiPriority w:val="99"/>
    <w:qFormat/>
    <w:rsid w:val="00FF31A5"/>
    <w:rPr>
      <w:i/>
      <w:iCs/>
      <w:color w:val="808080"/>
    </w:rPr>
  </w:style>
  <w:style w:type="character" w:styleId="IntenseEmphasis">
    <w:name w:val="Intense Emphasis"/>
    <w:basedOn w:val="DefaultParagraphFont"/>
    <w:uiPriority w:val="99"/>
    <w:qFormat/>
    <w:rsid w:val="00FF31A5"/>
    <w:rPr>
      <w:b/>
      <w:bCs/>
      <w:i/>
      <w:iCs/>
      <w:color w:val="4F81BD"/>
    </w:rPr>
  </w:style>
  <w:style w:type="character" w:styleId="SubtleReference">
    <w:name w:val="Subtle Reference"/>
    <w:basedOn w:val="DefaultParagraphFont"/>
    <w:uiPriority w:val="99"/>
    <w:qFormat/>
    <w:rsid w:val="00FF31A5"/>
    <w:rPr>
      <w:smallCaps/>
      <w:color w:val="C0504D"/>
      <w:u w:val="single"/>
    </w:rPr>
  </w:style>
  <w:style w:type="character" w:styleId="IntenseReference">
    <w:name w:val="Intense Reference"/>
    <w:basedOn w:val="DefaultParagraphFont"/>
    <w:uiPriority w:val="99"/>
    <w:qFormat/>
    <w:rsid w:val="00FF31A5"/>
    <w:rPr>
      <w:b/>
      <w:bCs/>
      <w:smallCaps/>
      <w:color w:val="C0504D"/>
      <w:spacing w:val="5"/>
      <w:u w:val="single"/>
    </w:rPr>
  </w:style>
  <w:style w:type="character" w:styleId="BookTitle">
    <w:name w:val="Book Title"/>
    <w:basedOn w:val="DefaultParagraphFont"/>
    <w:uiPriority w:val="99"/>
    <w:qFormat/>
    <w:rsid w:val="00FF31A5"/>
    <w:rPr>
      <w:b/>
      <w:bCs/>
      <w:smallCaps/>
      <w:spacing w:val="5"/>
    </w:rPr>
  </w:style>
  <w:style w:type="paragraph" w:styleId="TOCHeading">
    <w:name w:val="TOC Heading"/>
    <w:basedOn w:val="Heading1"/>
    <w:next w:val="Normal"/>
    <w:uiPriority w:val="99"/>
    <w:qFormat/>
    <w:rsid w:val="00FF31A5"/>
    <w:pPr>
      <w:outlineLvl w:val="9"/>
    </w:pPr>
  </w:style>
  <w:style w:type="paragraph" w:customStyle="1" w:styleId="PersonalName">
    <w:name w:val="Personal Name"/>
    <w:basedOn w:val="Title"/>
    <w:uiPriority w:val="99"/>
    <w:rsid w:val="00FF31A5"/>
    <w:rPr>
      <w:caps/>
      <w:color w:val="000000"/>
      <w:sz w:val="28"/>
      <w:szCs w:val="28"/>
    </w:rPr>
  </w:style>
  <w:style w:type="paragraph" w:styleId="Caption">
    <w:name w:val="caption"/>
    <w:basedOn w:val="Normal"/>
    <w:next w:val="Normal"/>
    <w:uiPriority w:val="99"/>
    <w:qFormat/>
    <w:rsid w:val="00FF31A5"/>
    <w:rPr>
      <w:b/>
      <w:bCs/>
      <w:color w:val="4F81BD"/>
      <w:sz w:val="18"/>
      <w:szCs w:val="18"/>
    </w:rPr>
  </w:style>
  <w:style w:type="character" w:customStyle="1" w:styleId="NoSpacingChar">
    <w:name w:val="No Spacing Char"/>
    <w:basedOn w:val="DefaultParagraphFont"/>
    <w:link w:val="NoSpacing"/>
    <w:uiPriority w:val="99"/>
    <w:rsid w:val="00FF31A5"/>
    <w:rPr>
      <w:sz w:val="22"/>
      <w:szCs w:val="22"/>
      <w:lang w:val="en-US" w:eastAsia="en-US"/>
    </w:rPr>
  </w:style>
  <w:style w:type="character" w:styleId="CommentReference">
    <w:name w:val="annotation reference"/>
    <w:basedOn w:val="DefaultParagraphFont"/>
    <w:uiPriority w:val="99"/>
    <w:semiHidden/>
    <w:rsid w:val="004E689E"/>
    <w:rPr>
      <w:sz w:val="16"/>
      <w:szCs w:val="16"/>
    </w:rPr>
  </w:style>
  <w:style w:type="paragraph" w:styleId="CommentText">
    <w:name w:val="annotation text"/>
    <w:basedOn w:val="Normal"/>
    <w:link w:val="CommentTextChar"/>
    <w:uiPriority w:val="99"/>
    <w:semiHidden/>
    <w:rsid w:val="004E689E"/>
  </w:style>
  <w:style w:type="character" w:customStyle="1" w:styleId="CommentTextChar">
    <w:name w:val="Comment Text Char"/>
    <w:basedOn w:val="DefaultParagraphFont"/>
    <w:link w:val="CommentText"/>
    <w:uiPriority w:val="99"/>
    <w:semiHidden/>
    <w:rsid w:val="004E689E"/>
    <w:rPr>
      <w:sz w:val="20"/>
      <w:szCs w:val="20"/>
    </w:rPr>
  </w:style>
  <w:style w:type="paragraph" w:styleId="CommentSubject">
    <w:name w:val="annotation subject"/>
    <w:basedOn w:val="CommentText"/>
    <w:next w:val="CommentText"/>
    <w:link w:val="CommentSubjectChar"/>
    <w:uiPriority w:val="99"/>
    <w:semiHidden/>
    <w:rsid w:val="004E689E"/>
    <w:rPr>
      <w:b/>
      <w:bCs/>
    </w:rPr>
  </w:style>
  <w:style w:type="character" w:customStyle="1" w:styleId="CommentSubjectChar">
    <w:name w:val="Comment Subject Char"/>
    <w:basedOn w:val="CommentTextChar"/>
    <w:link w:val="CommentSubject"/>
    <w:uiPriority w:val="99"/>
    <w:semiHidden/>
    <w:rsid w:val="004E689E"/>
    <w:rPr>
      <w:b/>
      <w:bCs/>
      <w:sz w:val="20"/>
      <w:szCs w:val="20"/>
    </w:rPr>
  </w:style>
  <w:style w:type="paragraph" w:styleId="BalloonText">
    <w:name w:val="Balloon Text"/>
    <w:basedOn w:val="Normal"/>
    <w:link w:val="BalloonTextChar"/>
    <w:uiPriority w:val="99"/>
    <w:semiHidden/>
    <w:rsid w:val="004E68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89E"/>
    <w:rPr>
      <w:rFonts w:ascii="Tahoma" w:hAnsi="Tahoma" w:cs="Tahoma"/>
      <w:sz w:val="16"/>
      <w:szCs w:val="16"/>
    </w:rPr>
  </w:style>
  <w:style w:type="table" w:styleId="LightShading-Accent2">
    <w:name w:val="Light Shading Accent 2"/>
    <w:basedOn w:val="TableNormal"/>
    <w:uiPriority w:val="99"/>
    <w:rsid w:val="00FA6FC1"/>
    <w:rPr>
      <w:rFonts w:cs="Calibri"/>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Grid">
    <w:name w:val="Table Grid"/>
    <w:basedOn w:val="TableNormal"/>
    <w:uiPriority w:val="99"/>
    <w:rsid w:val="00FA6FC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C0390"/>
    <w:rPr>
      <w:color w:val="0000FF"/>
      <w:u w:val="single"/>
    </w:rPr>
  </w:style>
  <w:style w:type="paragraph" w:styleId="Header">
    <w:name w:val="header"/>
    <w:basedOn w:val="Normal"/>
    <w:link w:val="HeaderChar"/>
    <w:uiPriority w:val="99"/>
    <w:rsid w:val="00B160B1"/>
    <w:pPr>
      <w:tabs>
        <w:tab w:val="center" w:pos="4680"/>
        <w:tab w:val="right" w:pos="9360"/>
      </w:tabs>
      <w:spacing w:after="0"/>
    </w:pPr>
  </w:style>
  <w:style w:type="character" w:customStyle="1" w:styleId="HeaderChar">
    <w:name w:val="Header Char"/>
    <w:basedOn w:val="DefaultParagraphFont"/>
    <w:link w:val="Header"/>
    <w:uiPriority w:val="99"/>
    <w:rsid w:val="00B160B1"/>
    <w:rPr>
      <w:rFonts w:ascii="Arial" w:hAnsi="Arial" w:cs="Arial"/>
      <w:sz w:val="20"/>
      <w:szCs w:val="20"/>
    </w:rPr>
  </w:style>
  <w:style w:type="paragraph" w:styleId="Footer">
    <w:name w:val="footer"/>
    <w:basedOn w:val="Normal"/>
    <w:link w:val="FooterChar"/>
    <w:uiPriority w:val="99"/>
    <w:rsid w:val="00B160B1"/>
    <w:pPr>
      <w:tabs>
        <w:tab w:val="center" w:pos="4680"/>
        <w:tab w:val="right" w:pos="9360"/>
      </w:tabs>
      <w:spacing w:after="0"/>
    </w:pPr>
  </w:style>
  <w:style w:type="character" w:customStyle="1" w:styleId="FooterChar">
    <w:name w:val="Footer Char"/>
    <w:basedOn w:val="DefaultParagraphFont"/>
    <w:link w:val="Footer"/>
    <w:uiPriority w:val="99"/>
    <w:rsid w:val="00B160B1"/>
    <w:rPr>
      <w:rFonts w:ascii="Arial" w:hAnsi="Arial" w:cs="Arial"/>
      <w:sz w:val="20"/>
      <w:szCs w:val="20"/>
    </w:rPr>
  </w:style>
  <w:style w:type="paragraph" w:styleId="Revision">
    <w:name w:val="Revision"/>
    <w:hidden/>
    <w:uiPriority w:val="99"/>
    <w:semiHidden/>
    <w:rsid w:val="002B5735"/>
    <w:rPr>
      <w:rFonts w:ascii="Arial" w:hAnsi="Arial" w:cs="Arial"/>
      <w:sz w:val="20"/>
      <w:szCs w:val="20"/>
    </w:rPr>
  </w:style>
  <w:style w:type="paragraph" w:styleId="FootnoteText">
    <w:name w:val="footnote text"/>
    <w:basedOn w:val="Normal"/>
    <w:link w:val="FootnoteTextChar"/>
    <w:uiPriority w:val="99"/>
    <w:unhideWhenUsed/>
    <w:rsid w:val="001333AC"/>
    <w:pPr>
      <w:spacing w:after="0"/>
    </w:pPr>
    <w:rPr>
      <w:sz w:val="20"/>
    </w:rPr>
  </w:style>
  <w:style w:type="character" w:customStyle="1" w:styleId="FootnoteTextChar">
    <w:name w:val="Footnote Text Char"/>
    <w:basedOn w:val="DefaultParagraphFont"/>
    <w:link w:val="FootnoteText"/>
    <w:uiPriority w:val="99"/>
    <w:rsid w:val="001333AC"/>
    <w:rPr>
      <w:rFonts w:ascii="Times New Roman" w:hAnsi="Times New Roman" w:cs="Arial"/>
      <w:sz w:val="20"/>
      <w:szCs w:val="20"/>
    </w:rPr>
  </w:style>
  <w:style w:type="character" w:styleId="FootnoteReference">
    <w:name w:val="footnote reference"/>
    <w:basedOn w:val="DefaultParagraphFont"/>
    <w:uiPriority w:val="99"/>
    <w:semiHidden/>
    <w:unhideWhenUsed/>
    <w:rsid w:val="001333AC"/>
    <w:rPr>
      <w:vertAlign w:val="superscript"/>
    </w:rPr>
  </w:style>
  <w:style w:type="paragraph" w:styleId="ListBullet2">
    <w:name w:val="List Bullet 2"/>
    <w:basedOn w:val="Normal"/>
    <w:uiPriority w:val="99"/>
    <w:unhideWhenUsed/>
    <w:rsid w:val="009C263E"/>
    <w:pPr>
      <w:numPr>
        <w:numId w:val="13"/>
      </w:numPr>
      <w:contextualSpacing/>
    </w:pPr>
  </w:style>
  <w:style w:type="paragraph" w:styleId="ListBullet3">
    <w:name w:val="List Bullet 3"/>
    <w:basedOn w:val="Normal"/>
    <w:uiPriority w:val="99"/>
    <w:unhideWhenUsed/>
    <w:rsid w:val="00B50354"/>
    <w:pPr>
      <w:numPr>
        <w:numId w:val="14"/>
      </w:numPr>
      <w:contextualSpacing/>
    </w:pPr>
  </w:style>
  <w:style w:type="character" w:styleId="FollowedHyperlink">
    <w:name w:val="FollowedHyperlink"/>
    <w:basedOn w:val="DefaultParagraphFont"/>
    <w:uiPriority w:val="99"/>
    <w:semiHidden/>
    <w:unhideWhenUsed/>
    <w:rsid w:val="00CA3C08"/>
    <w:rPr>
      <w:color w:val="800080" w:themeColor="followedHyperlink"/>
      <w:u w:val="single"/>
    </w:rPr>
  </w:style>
  <w:style w:type="character" w:customStyle="1" w:styleId="highlight">
    <w:name w:val="highlight"/>
    <w:basedOn w:val="DefaultParagraphFont"/>
    <w:rsid w:val="001927C8"/>
  </w:style>
  <w:style w:type="paragraph" w:customStyle="1" w:styleId="TableTitle">
    <w:name w:val="TableTitle"/>
    <w:basedOn w:val="Normal"/>
    <w:qFormat/>
    <w:rsid w:val="002E214C"/>
    <w:pPr>
      <w:keepNext/>
      <w:spacing w:after="60"/>
    </w:pPr>
    <w:rPr>
      <w:rFonts w:ascii="Arial" w:hAnsi="Arial"/>
      <w:b/>
      <w:bCs/>
      <w:color w:val="000000"/>
      <w:sz w:val="20"/>
      <w:szCs w:val="22"/>
    </w:rPr>
  </w:style>
  <w:style w:type="paragraph" w:customStyle="1" w:styleId="TableText">
    <w:name w:val="Table Text"/>
    <w:basedOn w:val="Normal"/>
    <w:qFormat/>
    <w:rsid w:val="007D7C4D"/>
    <w:pPr>
      <w:spacing w:after="0"/>
    </w:pPr>
    <w:rPr>
      <w:rFonts w:ascii="Arial" w:hAnsi="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7916">
      <w:bodyDiv w:val="1"/>
      <w:marLeft w:val="0"/>
      <w:marRight w:val="0"/>
      <w:marTop w:val="0"/>
      <w:marBottom w:val="0"/>
      <w:divBdr>
        <w:top w:val="none" w:sz="0" w:space="0" w:color="auto"/>
        <w:left w:val="none" w:sz="0" w:space="0" w:color="auto"/>
        <w:bottom w:val="none" w:sz="0" w:space="0" w:color="auto"/>
        <w:right w:val="none" w:sz="0" w:space="0" w:color="auto"/>
      </w:divBdr>
      <w:divsChild>
        <w:div w:id="993949572">
          <w:marLeft w:val="0"/>
          <w:marRight w:val="0"/>
          <w:marTop w:val="0"/>
          <w:marBottom w:val="0"/>
          <w:divBdr>
            <w:top w:val="none" w:sz="0" w:space="0" w:color="auto"/>
            <w:left w:val="none" w:sz="0" w:space="0" w:color="auto"/>
            <w:bottom w:val="none" w:sz="0" w:space="0" w:color="auto"/>
            <w:right w:val="none" w:sz="0" w:space="0" w:color="auto"/>
          </w:divBdr>
        </w:div>
        <w:div w:id="1227759693">
          <w:marLeft w:val="0"/>
          <w:marRight w:val="0"/>
          <w:marTop w:val="0"/>
          <w:marBottom w:val="0"/>
          <w:divBdr>
            <w:top w:val="none" w:sz="0" w:space="0" w:color="auto"/>
            <w:left w:val="none" w:sz="0" w:space="0" w:color="auto"/>
            <w:bottom w:val="none" w:sz="0" w:space="0" w:color="auto"/>
            <w:right w:val="none" w:sz="0" w:space="0" w:color="auto"/>
          </w:divBdr>
        </w:div>
      </w:divsChild>
    </w:div>
    <w:div w:id="801849361">
      <w:marLeft w:val="0"/>
      <w:marRight w:val="0"/>
      <w:marTop w:val="0"/>
      <w:marBottom w:val="0"/>
      <w:divBdr>
        <w:top w:val="none" w:sz="0" w:space="0" w:color="auto"/>
        <w:left w:val="none" w:sz="0" w:space="0" w:color="auto"/>
        <w:bottom w:val="none" w:sz="0" w:space="0" w:color="auto"/>
        <w:right w:val="none" w:sz="0" w:space="0" w:color="auto"/>
      </w:divBdr>
    </w:div>
    <w:div w:id="801849362">
      <w:marLeft w:val="0"/>
      <w:marRight w:val="0"/>
      <w:marTop w:val="0"/>
      <w:marBottom w:val="0"/>
      <w:divBdr>
        <w:top w:val="none" w:sz="0" w:space="0" w:color="auto"/>
        <w:left w:val="none" w:sz="0" w:space="0" w:color="auto"/>
        <w:bottom w:val="none" w:sz="0" w:space="0" w:color="auto"/>
        <w:right w:val="none" w:sz="0" w:space="0" w:color="auto"/>
      </w:divBdr>
    </w:div>
    <w:div w:id="801849363">
      <w:marLeft w:val="0"/>
      <w:marRight w:val="0"/>
      <w:marTop w:val="0"/>
      <w:marBottom w:val="0"/>
      <w:divBdr>
        <w:top w:val="none" w:sz="0" w:space="0" w:color="auto"/>
        <w:left w:val="none" w:sz="0" w:space="0" w:color="auto"/>
        <w:bottom w:val="none" w:sz="0" w:space="0" w:color="auto"/>
        <w:right w:val="none" w:sz="0" w:space="0" w:color="auto"/>
      </w:divBdr>
    </w:div>
    <w:div w:id="801849365">
      <w:marLeft w:val="0"/>
      <w:marRight w:val="0"/>
      <w:marTop w:val="0"/>
      <w:marBottom w:val="0"/>
      <w:divBdr>
        <w:top w:val="none" w:sz="0" w:space="0" w:color="auto"/>
        <w:left w:val="none" w:sz="0" w:space="0" w:color="auto"/>
        <w:bottom w:val="none" w:sz="0" w:space="0" w:color="auto"/>
        <w:right w:val="none" w:sz="0" w:space="0" w:color="auto"/>
      </w:divBdr>
      <w:divsChild>
        <w:div w:id="801849364">
          <w:marLeft w:val="0"/>
          <w:marRight w:val="0"/>
          <w:marTop w:val="0"/>
          <w:marBottom w:val="0"/>
          <w:divBdr>
            <w:top w:val="none" w:sz="0" w:space="0" w:color="auto"/>
            <w:left w:val="none" w:sz="0" w:space="0" w:color="auto"/>
            <w:bottom w:val="none" w:sz="0" w:space="0" w:color="auto"/>
            <w:right w:val="none" w:sz="0" w:space="0" w:color="auto"/>
          </w:divBdr>
          <w:divsChild>
            <w:div w:id="8018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9366">
      <w:marLeft w:val="0"/>
      <w:marRight w:val="0"/>
      <w:marTop w:val="0"/>
      <w:marBottom w:val="0"/>
      <w:divBdr>
        <w:top w:val="none" w:sz="0" w:space="0" w:color="auto"/>
        <w:left w:val="none" w:sz="0" w:space="0" w:color="auto"/>
        <w:bottom w:val="none" w:sz="0" w:space="0" w:color="auto"/>
        <w:right w:val="none" w:sz="0" w:space="0" w:color="auto"/>
      </w:divBdr>
      <w:divsChild>
        <w:div w:id="801849367">
          <w:marLeft w:val="0"/>
          <w:marRight w:val="0"/>
          <w:marTop w:val="0"/>
          <w:marBottom w:val="0"/>
          <w:divBdr>
            <w:top w:val="none" w:sz="0" w:space="0" w:color="auto"/>
            <w:left w:val="none" w:sz="0" w:space="0" w:color="auto"/>
            <w:bottom w:val="none" w:sz="0" w:space="0" w:color="auto"/>
            <w:right w:val="none" w:sz="0" w:space="0" w:color="auto"/>
          </w:divBdr>
          <w:divsChild>
            <w:div w:id="801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www.ihs.org/documents_smm_pnp/public/2461_1BR12.pdf" TargetMode="External"/><Relationship Id="rId26" Type="http://schemas.openxmlformats.org/officeDocument/2006/relationships/hyperlink" Target="http://www.qualityindicators.ahrq.gov/Downloads/Resources/Presentations/2010/Romano%20UHC%20webinar%20PSIs05-10.pdf" TargetMode="External"/><Relationship Id="rId3" Type="http://schemas.openxmlformats.org/officeDocument/2006/relationships/customXml" Target="../customXml/item3.xml"/><Relationship Id="rId21" Type="http://schemas.openxmlformats.org/officeDocument/2006/relationships/hyperlink" Target="http://www.clinical-insights.com/resources-June09CodingErrors.html"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hawaii.gov/hhsc/policies-and-procedures/Patient%20Care/PAT%201003_091500_.pdf" TargetMode="External"/><Relationship Id="rId25" Type="http://schemas.openxmlformats.org/officeDocument/2006/relationships/hyperlink" Target="http://www.sciencedirect.com/science/article/pii/S0002937806007447"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library.ahima.org/xpedio/groups/public/documents/ahima/bok1_049822.pdf" TargetMode="External"/><Relationship Id="rId29" Type="http://schemas.openxmlformats.org/officeDocument/2006/relationships/hyperlink" Target="http://ajm.sagepub.com/content/20/4/210.lo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ncbi.nlm.nih.gov/pmc/articles/PMC252929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ncbi.nlm.nih.gov/books/NBK20515/" TargetMode="External"/><Relationship Id="rId28" Type="http://schemas.openxmlformats.org/officeDocument/2006/relationships/hyperlink" Target="http://www.academyhealth.org/files/2011/monday/shin.pdf" TargetMode="External"/><Relationship Id="rId10" Type="http://schemas.openxmlformats.org/officeDocument/2006/relationships/webSettings" Target="webSettings.xml"/><Relationship Id="rId19" Type="http://schemas.openxmlformats.org/officeDocument/2006/relationships/hyperlink" Target="http://chicago.medicine.uic.edu/UserFiles/Servers/Server_442934/File/Compliance/COM_Compliance_Coding_Policy.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ciencedirect.com/science/article/pii/S1072751511001189" TargetMode="External"/><Relationship Id="rId27" Type="http://schemas.openxmlformats.org/officeDocument/2006/relationships/hyperlink" Target="http://ajm.sagepub.com/content/25/3/218.full.pdf+html" TargetMode="External"/><Relationship Id="rId30" Type="http://schemas.openxmlformats.org/officeDocument/2006/relationships/hyperlink" Target="http://www.sciencedirect.com/science/article/pii/S107275151000338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640BEC97A19740BC790CE39BB2903C" ma:contentTypeVersion="0" ma:contentTypeDescription="Create a new document." ma:contentTypeScope="" ma:versionID="1208570c139c530faacc531a70233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796F-1D17-4DD1-B819-69F6F646392E}">
  <ds:schemaRefs>
    <ds:schemaRef ds:uri="http://schemas.microsoft.com/office/2006/metadata/properties"/>
  </ds:schemaRefs>
</ds:datastoreItem>
</file>

<file path=customXml/itemProps2.xml><?xml version="1.0" encoding="utf-8"?>
<ds:datastoreItem xmlns:ds="http://schemas.openxmlformats.org/officeDocument/2006/customXml" ds:itemID="{8136B40C-0380-4519-9F00-3C53AE741634}">
  <ds:schemaRefs>
    <ds:schemaRef ds:uri="http://schemas.microsoft.com/sharepoint/v3/contenttype/forms"/>
  </ds:schemaRefs>
</ds:datastoreItem>
</file>

<file path=customXml/itemProps3.xml><?xml version="1.0" encoding="utf-8"?>
<ds:datastoreItem xmlns:ds="http://schemas.openxmlformats.org/officeDocument/2006/customXml" ds:itemID="{8ED4DFB7-4228-4E34-ACA5-2BC109D8D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47D902A-96E0-427E-A096-5D3D287D25B4}">
  <ds:schemaRefs>
    <ds:schemaRef ds:uri="http://schemas.openxmlformats.org/officeDocument/2006/bibliography"/>
  </ds:schemaRefs>
</ds:datastoreItem>
</file>

<file path=customXml/itemProps5.xml><?xml version="1.0" encoding="utf-8"?>
<ds:datastoreItem xmlns:ds="http://schemas.openxmlformats.org/officeDocument/2006/customXml" ds:itemID="{B30C9ABA-89EE-4C9F-A726-41EA4B59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5891</Words>
  <Characters>33582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Documentation and Coding for Patient Safety Indicators</vt:lpstr>
    </vt:vector>
  </TitlesOfParts>
  <Company>RAND Corporation</Company>
  <LinksUpToDate>false</LinksUpToDate>
  <CharactersWithSpaces>39395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and Coding for Patient Safety Indicators</dc:title>
  <dc:creator>Rachel Burns</dc:creator>
  <cp:lastModifiedBy>RAND Authorized User</cp:lastModifiedBy>
  <cp:revision>3</cp:revision>
  <dcterms:created xsi:type="dcterms:W3CDTF">2014-08-07T21:02:00Z</dcterms:created>
  <dcterms:modified xsi:type="dcterms:W3CDTF">2014-08-26T16:51:00Z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0x01010002640BEC97A19740BC790CE39BB2903C</vt:lpwstr>
  </property>
</Properties>
</file>