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4"/>
        </w:rPr>
        <w:t>BÁO CÁO KỸ THUẬT QUÁ TRÌNH TRIỂN KHAI VÀ PHÁT TRIỂN</w:t>
        <w:br/>
      </w:r>
      <w:r>
        <w:rPr>
          <w:rFonts w:ascii="Times New Roman" w:hAnsi="Times New Roman"/>
          <w:b/>
          <w:color w:val="000000"/>
          <w:sz w:val="32"/>
        </w:rPr>
        <w:t>HỆ THỐNG QUẢN LÝ NHÀ TRƯỜNG THÔNG MINH ĐA ĐIỂM TRƯỜNG</w:t>
      </w:r>
    </w:p>
    <w:p>
      <w:pPr>
        <w:jc w:val="center"/>
      </w:pPr>
      <w:r>
        <w:rPr>
          <w:rFonts w:ascii="Times New Roman" w:hAnsi="Times New Roman"/>
          <w:i/>
          <w:color w:val="3C3C3C"/>
          <w:sz w:val="20"/>
        </w:rPr>
        <w:t>Tài liệu đặc tả kỹ thuật: Mục 3, 4, 5, 6 và 7</w:t>
      </w:r>
    </w:p>
    <w:p>
      <w:pPr>
        <w:spacing w:after="280"/>
      </w:pPr>
    </w:p>
    <w:p>
      <w:pPr>
        <w:pStyle w:val="Heading1"/>
      </w:pPr>
      <w:r>
        <w:rPr>
          <w:rFonts w:ascii="Times New Roman" w:hAnsi="Times New Roman"/>
          <w:b/>
          <w:color w:val="000000"/>
          <w:sz w:val="26"/>
        </w:rPr>
        <w:t>3. DỮ LIỆU, CÂU LỆNH VÀ CÔNG CỤ TRÍ TUỆ NHÂN TẠO ĐÃ SỬ DỤNG TRONG QUÁ TRÌNH XÂY DỰNG SẢN PHẨM</w:t>
      </w:r>
    </w:p>
    <w:p>
      <w:r>
        <w:rPr>
          <w:rFonts w:ascii="Times New Roman" w:hAnsi="Times New Roman"/>
          <w:b/>
          <w:color w:val="000000"/>
          <w:sz w:val="21"/>
        </w:rPr>
        <w:t>3.1. Dữ liệu và tài liệu đầu vào cung cấp cho AI</w:t>
        <w:br/>
      </w:r>
      <w:r>
        <w:rPr>
          <w:rFonts w:ascii="Times New Roman" w:hAnsi="Times New Roman"/>
          <w:color w:val="000000"/>
          <w:sz w:val="21"/>
        </w:rPr>
        <w:t>Trong quá trình nghiên cứu, thiết kế kiến trúc và lập trình hệ thống, AI được cung cấp các nhóm tài liệu nghiệp vụ và dữ liệu thực tế nhằm bảo đảm mã nguồn bám sát yêu cầu vận hành của các nhà trường:</w:t>
        <w:br/>
        <w:t>1. Tài liệu Kế hoạch Giáo dục và Phân phối Chương trình: Cung cấp cấu trúc môn học, số tiết chuẩn theo từng khối lớp từ Lớp 1 đến Lớp 5 và Lớp 6 đến Lớp 9. AI sử dụng dữ liệu này để thiết kế mô hình cơ sở dữ liệu quan hệ, bảng phân công giảng dạy và thuật toán xếp thời khóa biểu.</w:t>
        <w:br/>
        <w:t>2. Quy chế Đánh giá và Xếp loại Học sinh: Cung cấp các tiêu chí đánh giá định kỳ, cách tính điểm thường xuyên, giữa kỳ, cuối kỳ theo chuẩn của Bộ Giáo dục và Đào tạo. AI sử dụng dữ liệu này để lập trình công thức tính điểm và các hàm phân loại học lực.</w:t>
        <w:br/>
        <w:t>3. Mẫu Biểu Quản lý Sư phạm Thực tế: Cung cấp cấu trúc sổ đầu bài điện tử, sổ điểm danh, sổ khen thưởng, biên bản luân chuyển giáo viên giữa các điểm trường và nhật ký can thiệp học sinh. Dữ liệu này giúp AI xây dựng giao diện nhập liệu và các ràng buộc dữ liệu chính xác.</w:t>
        <w:br/>
        <w:t>4. Dữ liệu Mô phỏng Thực nghiệm: Xây dựng tập dữ liệu mẫu gồm 1 trường học, 3 điểm trường, 15 lớp học, 450 học sinh, 32 giáo viên và hơn 12.000 bản ghi điểm số qua 4 năm học (tại tệp prisma/seed.ts). Dữ liệu này được đưa vào hệ thống để kiểm tra khả năng dự báo của thuật toán học máy và đo lường độ chịu tải của cơ sở dữ liệu.</w:t>
      </w:r>
    </w:p>
    <w:p>
      <w:r>
        <w:rPr>
          <w:rFonts w:ascii="Times New Roman" w:hAnsi="Times New Roman"/>
          <w:b/>
          <w:color w:val="000000"/>
          <w:sz w:val="21"/>
        </w:rPr>
        <w:t>3.2. Hệ thống câu lệnh (Prompts) sử dụng trong quá trình phát triển</w:t>
        <w:br/>
      </w:r>
      <w:r>
        <w:rPr>
          <w:rFonts w:ascii="Times New Roman" w:hAnsi="Times New Roman"/>
          <w:color w:val="000000"/>
          <w:sz w:val="21"/>
        </w:rPr>
        <w:t>Hệ thống câu lệnh được thiết kế theo từng giai đoạn phát triển để định hướng AI sinh mã nguồn chính xác:</w:t>
        <w:br/>
        <w:t>• Nhóm câu lệnh Thiết kế Kiến trúc và Cơ sở Dữ liệu: Yêu cầu AI phân tích luồng nghiệp vụ trường học nhiều điểm trường, thiết kế lược đồ quan hệ trong Prisma ORM với đầy đủ khóa ngoại, chỉ mục tìm kiếm và cơ chế cô lập dữ liệu theo từng trường (schoolId) và từng điểm trường (campusId).</w:t>
        <w:br/>
        <w:t>• Nhóm câu lệnh Lập trình theo Hướng Kiểm thử (TDD): Yêu cầu AI viết các bài kiểm thử tự động với Vitest trước khi viết mã nguồn xử lý logic (kiểm thử thuật toán hồi quy tuyến tính, kiểm thử xếp thời khóa biểu, kiểm thử phân quyền người dùng).</w:t>
        <w:br/>
        <w:t>• Nhóm câu lệnh Xây dựng Cơ chế Chống Ảo giác Dữ liệu (Rule 0): Định nghĩa bộ quy tắc bắt buộc AI nhúng trong ứng dụng chỉ được phát biểu dựa trên bản ghi có thực trong cơ sở dữ liệu; tự động bóc tách mã định danh bản ghi (record_id) và phân tách rõ ràng giữa dữ kiện thực tế và suy luận sư phạm.</w:t>
        <w:br/>
        <w:t>• Nhóm câu lệnh Trợ lý Điều hành và Hỗ trợ Sư phạm: Hướng dẫn mô hình ngôn ngữ lớn cách đọc hiểu dữ liệu tổng hợp của nhà trường để xuất ra 2 phương án chỉ đạo kèm điểm số khả thi và căn cứ chuyên môn.</w:t>
      </w:r>
    </w:p>
    <w:p>
      <w:r>
        <w:rPr>
          <w:rFonts w:ascii="Times New Roman" w:hAnsi="Times New Roman"/>
          <w:b/>
          <w:color w:val="000000"/>
          <w:sz w:val="21"/>
        </w:rPr>
        <w:t>3.3. Các công cụ và nền tảng trí tuệ nhân tạo hỗ trợ xây dựng hệ thống</w:t>
        <w:br/>
      </w:r>
      <w:r>
        <w:rPr>
          <w:rFonts w:ascii="Times New Roman" w:hAnsi="Times New Roman"/>
          <w:color w:val="000000"/>
          <w:sz w:val="21"/>
        </w:rPr>
        <w:t>1. Claude Code CLI kết hợp mô hình Claude 3.7 Sonnet và Opus: Công cụ dòng lệnh hỗ trợ trực tiếp việc sinh mã nguồn, rà soát lỗi bảo mật, viết kiểm thử tự động và tái cấu trúc hệ thống.</w:t>
        <w:br/>
        <w:t>2. CodeGraph MCP: Công cụ phân tích đồ thị cấu trúc mã nguồn, giúp truy vấn cây phân cấp gọi hàm và đánh giá phạm vi ảnh hưởng trước khi thực hiện các thay đổi phức tạp trong mã nguồn.</w:t>
        <w:br/>
        <w:t>3. Mô hình Google Gemini 1.5 Flash và 2.5 Flash Lite: Nền tảng mô hình ngôn ngữ lớn được tích hợp vào sản phẩm thông qua cổng OmniRoute Gateway để phục vụ tính năng trợ lý điều hành và tư vấn sư phạm thời gian thực.</w:t>
      </w:r>
    </w:p>
    <w:p>
      <w:pPr>
        <w:pStyle w:val="Heading1"/>
      </w:pPr>
      <w:r>
        <w:rPr>
          <w:rFonts w:ascii="Times New Roman" w:hAnsi="Times New Roman"/>
          <w:b/>
          <w:color w:val="000000"/>
          <w:sz w:val="26"/>
        </w:rPr>
        <w:t>4. QUY TRÌNH THU THẬP, XỬ LÝ VÀ CHUẨN HÓA DỮ LIỆU</w:t>
      </w:r>
    </w:p>
    <w:p>
      <w:r>
        <w:rPr>
          <w:rFonts w:ascii="Times New Roman" w:hAnsi="Times New Roman"/>
          <w:color w:val="000000"/>
          <w:sz w:val="21"/>
        </w:rPr>
        <w:t>Dữ liệu của hệ thống được xử lý qua quy trình 5 bước khép kín trước khi đưa vào lưu trữ và phân tích:</w:t>
        <w:br/>
        <w:br/>
        <w:t>Bước 1 — Tiếp nhận dữ liệu: Thu thập qua biểu mẫu nhập liệu trực tiếp trên giao diện web (React Hook Form), tệp bảng tính Excel danh sách/bảng điểm qua excel-parser.ts, và nhật ký điểm danh hàng ngày của giáo viên.</w:t>
        <w:br/>
        <w:br/>
        <w:t>Bước 2 — Làm sạch và xác thực dữ liệu: Sử dụng thư viện Zod kiểm tra kiểu dữ liệu và giá trị biên. Ràng buộc điểm số từ 0.0 đến 10.0; trạng thái điểm danh chỉ nhận các giá trị PRESENT, EXCUSED, UNEXCUSED, LATE; chuẩn hóa ngày tháng theo chuẩn ISO 8601 (YYYY-MM-DD); cắt bỏ khoảng trắng thừa và loại bỏ trùng lặp mã định danh.</w:t>
        <w:br/>
        <w:br/>
        <w:t>Bước 3 — Ẩn danh hóa và phân quyền dữ liệu: Tự động sinh mã định danh duy nhất (CUID/UUID) cho từng bản ghi; tự động gán mã trường (schoolId) và mã điểm trường (campusId) vào mọi bản ghi để bảo đảm tính cô lập dữ liệu tuyệt đối giữa các đơn vị trường học.</w:t>
        <w:br/>
        <w:br/>
        <w:t>Bước 4 — Chuẩn hóa chuỗi thời gian phục vụ phân tích: Biến đổi lịch sử điểm số của học sinh thành mảng các cặp giá trị (thứ tự kỳ học, điểm số); tính toán điểm số nền tảng (trung bình 2 kỳ đầu tiên) làm mốc đối chuẩn; khởi tạo ma trận thời khóa biểu theo cấu trúc 5 ngày/tuần, 2 buổi/ngày, 4 đến 5 tiết/buổi.</w:t>
        <w:br/>
        <w:br/>
        <w:t>Bước 5 — Lưu trữ và tối ưu hóa truy vấn: Ghi dữ liệu vào cơ sở dữ liệu quan hệ PostgreSQL thông qua Prisma ORM; thiết lập khóa ngoại và các chỉ mục liên hợp để bảo đảm thời gian truy vấn dữ liệu dưới 50 mili-giây.</w:t>
      </w:r>
    </w:p>
    <w:p>
      <w:pPr>
        <w:pStyle w:val="Heading1"/>
      </w:pPr>
      <w:r>
        <w:rPr>
          <w:rFonts w:ascii="Times New Roman" w:hAnsi="Times New Roman"/>
          <w:b/>
          <w:color w:val="000000"/>
          <w:sz w:val="26"/>
        </w:rPr>
        <w:t>5. CÔNG CỤ, MÔ HÌNH VÀ THƯ VIỆN TRÍ TUỆ NHÂN TẠO ĐÃ SỬ DỤNG</w:t>
      </w:r>
    </w:p>
    <w:p>
      <w:r>
        <w:rPr>
          <w:rFonts w:ascii="Times New Roman" w:hAnsi="Times New Roman"/>
          <w:b/>
          <w:color w:val="000000"/>
          <w:sz w:val="21"/>
        </w:rPr>
        <w:t>5.1. Bảng tổng hợp công nghệ trí tuệ nhân tạo</w:t>
        <w:br/>
      </w:r>
      <w:r>
        <w:rPr>
          <w:rFonts w:ascii="Times New Roman" w:hAnsi="Times New Roman"/>
          <w:color w:val="000000"/>
          <w:sz w:val="21"/>
        </w:rPr>
        <w:t>Danh mục các công cụ và mô hình AI được phân chia theo vai trò kỹ thuật trong hệ thống:</w:t>
      </w:r>
    </w:p>
    <w:tbl>
      <w:tblPr>
        <w:tblW w:type="auto" w:w="0"/>
        <w:jc w:val="center"/>
        <w:tblLook w:firstColumn="1" w:firstRow="1" w:lastColumn="0" w:lastRow="0" w:noHBand="0" w:noVBand="1" w:val="04A0"/>
      </w:tblPr>
      <w:tblGrid>
        <w:gridCol w:w="1863"/>
        <w:gridCol w:w="1863"/>
        <w:gridCol w:w="1863"/>
        <w:gridCol w:w="1863"/>
        <w:gridCol w:w="1863"/>
      </w:tblGrid>
      <w:tr>
        <w:tc>
          <w:tcPr>
            <w:tcW w:type="dxa" w:w="576"/>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Tên Công Cụ / Thuật Toán</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Nhà Cung Cấp / Nguồn</w:t>
            </w:r>
          </w:p>
        </w:tc>
        <w:tc>
          <w:tcPr>
            <w:tcW w:type="dxa" w:w="316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Vai Trò Trong Hệ Thống</w:t>
            </w:r>
          </w:p>
        </w:tc>
        <w:tc>
          <w:tcPr>
            <w:tcW w:type="dxa" w:w="1440"/>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Phân Loại</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Google Gemini 1.5 Flash</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Google Cloud</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Trợ lý ngôn ngữ hỏi đáp dữ liệu, đề xuất phương án chỉ đạo, tư vấn sư phạm.</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nhúng trong sản phẩm</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Bộ định tuyến OmniRoute Gateway</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phát triển</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Điều phối yêu cầu API, cân bằng tải, tự động chuyển sang phản hồi cục bộ khi mất mạng.</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nhúng trong sản phẩm</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kiểm chứng chống ảo giác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phát triển (src/lib/ai/)</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Phân tách dữ kiện và suy luận, bóc tách mã bản ghi, kiểm tra cơ sở dữ liệu.</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AI nhúng trong sản phẩm</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4</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Hồi quy tuyến tính OLS và độ biến động RMS</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phát triển (src/lib/)</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Dự báo xu hướng học tập, tính hệ số góc, phát hiện sớm nguy cơ giảm sút điểm số.</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Học máy nhúng trong sản phẩm</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5</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Thuật toán giải bài toán thỏa mãn ràng buộc (CSP)</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phát triển (Custom)</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Xếp thời khóa biểu tự động, giải quyết ràng buộc phòng học, giáo viên và điểm trường.</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Tối ưu hóa trong sản phẩm</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6</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Động cơ phân tích phổ điểm thi</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phát triển + Recharts</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Tính toán phân phối phổ điểm, độ lệch chuẩn, phương sai, độ phân hóa đề thi.</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Thống kê trong sản phẩm</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7</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Claude Code CLI &amp; Claude 3.7 Sonnet</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Anthropic</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Trợ lý lập trình, hỗ trợ thiết kế kiến trúc, sinh mã nguồn và viết bài kiểm thử.</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Công cụ hỗ trợ phát triển</w:t>
            </w:r>
          </w:p>
        </w:tc>
      </w:tr>
      <w:tr>
        <w:tc>
          <w:tcPr>
            <w:tcW w:type="dxa" w:w="576"/>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8</w:t>
            </w:r>
          </w:p>
        </w:tc>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CodeGraph MCP</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SQLite AST</w:t>
            </w:r>
          </w:p>
        </w:tc>
        <w:tc>
          <w:tcPr>
            <w:tcW w:type="dxa" w:w="316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Phân tích đồ thị mã nguồn, kiểm tra luồng gọi hàm và đánh giá phạm vi ảnh hưởng.</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Công cụ hỗ trợ phát triển</w:t>
            </w:r>
          </w:p>
        </w:tc>
      </w:tr>
      <w:tr>
        <w:tc>
          <w:tcPr>
            <w:tcW w:type="dxa" w:w="576"/>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9</w:t>
            </w:r>
          </w:p>
        </w:tc>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Trình sinh dữ liệu thực nghiệm</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Tự phát triển (seed.ts)</w:t>
            </w:r>
          </w:p>
        </w:tc>
        <w:tc>
          <w:tcPr>
            <w:tcW w:type="dxa" w:w="316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Sinh dữ liệu mẫu có tính liên kết quan hệ và xu hướng thời gian để kiểm thử.</w:t>
            </w:r>
          </w:p>
        </w:tc>
        <w:tc>
          <w:tcPr>
            <w:tcW w:type="dxa" w:w="1440"/>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Công cụ hỗ trợ phát triển</w:t>
            </w:r>
          </w:p>
        </w:tc>
      </w:tr>
    </w:tbl>
    <w:p>
      <w:pPr>
        <w:spacing w:after="160"/>
      </w:pPr>
    </w:p>
    <w:p>
      <w:r>
        <w:rPr>
          <w:rFonts w:ascii="Times New Roman" w:hAnsi="Times New Roman"/>
          <w:b/>
          <w:color w:val="000000"/>
          <w:sz w:val="21"/>
        </w:rPr>
        <w:t>5.2. Vai trò kỹ thuật chi tiết của các thành phần cốt lõi</w:t>
        <w:br/>
      </w:r>
      <w:r>
        <w:rPr>
          <w:rFonts w:ascii="Times New Roman" w:hAnsi="Times New Roman"/>
          <w:color w:val="000000"/>
          <w:sz w:val="21"/>
        </w:rPr>
        <w:t>• Mô hình Google Gemini 1.5 Flash: Tiếp nhận câu hỏi và tóm tắt dữ liệu thời gian thực của các điểm trường để xuất ra 2 phương án chỉ đạo điều hành cho Ban Giám hiệu, hỗ trợ giáo viên xây dựng kế hoạch bồi dưỡng học sinh.</w:t>
        <w:br/>
        <w:t>• Động cơ kiểm chứng chống ảo giác dữ liệu: Kiểm tra toàn bộ mã định danh bản ghi do mô hình ngôn ngữ lớn trích dẫn. Nếu phát hiện mã bản ghi không tồn tại trong cơ sở dữ liệu của trường, hệ thống lập tức từ chối và cảnh báo dữ liệu không hợp lệ.</w:t>
        <w:br/>
        <w:t>• Mô hình Hồi quy tuyến tính OLS và Độ biến động RMS: Tính toán xu hướng học tập dựa trên công thức bình phương bé nhất. Tự động phân loại học sinh thành 4 nhóm (Tiến bộ, Sa sút, Biến động bất thường, Ổn định) để phát cảnh báo sớm.</w:t>
        <w:br/>
        <w:t>• Thuật toán xếp thời khóa biểu thỏa mãn ràng buộc: Xử lý bài toán phân bổ tiết học, bảo đảm 100% không trùng tiết dạy của giáo viên, không trùng phòng học và tối ưu lịch di chuyển giữa các điểm trường lẻ.</w:t>
      </w:r>
    </w:p>
    <w:p>
      <w:pPr>
        <w:pStyle w:val="Heading1"/>
      </w:pPr>
      <w:r>
        <w:rPr>
          <w:rFonts w:ascii="Times New Roman" w:hAnsi="Times New Roman"/>
          <w:b/>
          <w:color w:val="000000"/>
          <w:sz w:val="26"/>
        </w:rPr>
        <w:t>6. SƠ ĐỒ KIẾN TRÚC HỆ THỐNG VÀ LUỒNG XỬ LÝ CHÍNH CỦA SẢN PHẨM</w:t>
      </w:r>
    </w:p>
    <w:p>
      <w:r>
        <w:rPr>
          <w:rFonts w:ascii="Times New Roman" w:hAnsi="Times New Roman"/>
          <w:b/>
          <w:color w:val="000000"/>
          <w:sz w:val="21"/>
        </w:rPr>
        <w:t>6.1. Kiến trúc phân tầng hệ thống</w:t>
        <w:br/>
      </w:r>
      <w:r>
        <w:rPr>
          <w:rFonts w:ascii="Times New Roman" w:hAnsi="Times New Roman"/>
          <w:color w:val="000000"/>
          <w:sz w:val="21"/>
        </w:rPr>
        <w:t>Hệ thống được tổ chức theo 4 tầng kiến trúc phân lập rõ ràng:</w:t>
        <w:br/>
        <w:t>1. Tầng Trình diễn: Xây dựng trên Next.js 16, React 19 và TailwindCSS, cung cấp bảng điều khiển chuyên biệt cho Ban Giám hiệu, Tổ chuyên môn, Giáo viên, Học sinh và khung chat trợ lý AI.</w:t>
        <w:br/>
        <w:t>2. Tầng Bảo mật và Điều hướng: Xử lý phiên đăng nhập với NextAuth v4, phân quyền người dùng qua Middleware, cô lập dữ liệu theo trường học và thực thi chính sách chống ảo giác.</w:t>
        <w:br/>
        <w:t>3. Tầng Động cơ Trí tuệ Nhân tạo và Phân tích: Bao gồm cổng kết nối mô hình ngôn ngữ lớn, bộ kiểm chứng dữ liệu, động cơ hồi quy tuyến tính, giải thuật xếp thời khóa biểu và module phân tích phổ điểm.</w:t>
        <w:br/>
        <w:t>4. Tầng Dữ liệu và Lưu trữ: Cơ sở dữ liệu quan hệ PostgreSQL quản lý qua Prisma ORM và hệ thống lưu trữ tệp đám mây.</w:t>
      </w:r>
    </w:p>
    <w:p>
      <w:r>
        <w:rPr>
          <w:rFonts w:ascii="Times New Roman" w:hAnsi="Times New Roman"/>
          <w:b/>
          <w:color w:val="000000"/>
          <w:sz w:val="21"/>
        </w:rPr>
        <w:t>6.2. Ma trận luồng xử lý dữ liệu 5 bước</w:t>
        <w:br/>
      </w:r>
      <w:r>
        <w:rPr>
          <w:rFonts w:ascii="Times New Roman" w:hAnsi="Times New Roman"/>
          <w:color w:val="000000"/>
          <w:sz w:val="21"/>
        </w:rPr>
        <w:t>Chuỗi xử lý dữ liệu: [Dữ liệu đầu vào] → [Xử lý dữ liệu] → [AI xử lý/phân tích] → [Chức năng sản phẩm] → [Kết quả đầu ra]</w:t>
      </w:r>
    </w:p>
    <w:tbl>
      <w:tblPr>
        <w:tblW w:type="auto" w:w="0"/>
        <w:jc w:val="center"/>
        <w:tblLook w:firstColumn="1" w:firstRow="1" w:lastColumn="0" w:lastRow="0" w:noHBand="0" w:noVBand="1" w:val="04A0"/>
      </w:tblPr>
      <w:tblGrid>
        <w:gridCol w:w="1553"/>
        <w:gridCol w:w="1553"/>
        <w:gridCol w:w="1553"/>
        <w:gridCol w:w="1553"/>
        <w:gridCol w:w="1553"/>
        <w:gridCol w:w="1553"/>
      </w:tblGrid>
      <w:tr>
        <w:tc>
          <w:tcPr>
            <w:tcW w:type="dxa" w:w="5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STT</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Nghiệp Vụ</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Dữ Liệu Đầu Vào</w:t>
            </w:r>
          </w:p>
        </w:tc>
        <w:tc>
          <w:tcPr>
            <w:tcW w:type="dxa" w:w="1728"/>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Dữ Liệu</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AI / Thuật Toán Phân Tích</w:t>
            </w:r>
          </w:p>
        </w:tc>
        <w:tc>
          <w:tcPr>
            <w:tcW w:type="dxa" w:w="187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Kết Quả Đầu Ra</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1</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Phân tích hành trình và cảnh báo sớm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Điểm số các kỳ</w:t>
              <w:br/>
              <w:t>• Dữ liệu chuyên cần</w:t>
              <w:br/>
              <w:t>• Nhật ký can thiệp</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Lọc điểm hợp lệ từ 0 đến 10</w:t>
              <w:br/>
              <w:t>• Sắp xếp theo thời gian</w:t>
              <w:br/>
              <w:t>• Kiểm tra từ 3 kỳ trở lên</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Hồi quy tuyến tính OLS và độ biến động RMS</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Nhãn xu hướng học tập</w:t>
              <w:br/>
              <w:t>• Danh sách cảnh báo gửi giáo viên</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2</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Trợ lý điều hành và hỗ trợ sư phạm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Câu hỏi của BGH/GV</w:t>
              <w:br/>
              <w:t>• Tóm tắt dữ liệu trường</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Tiêm quy tắc kiểm soát dữ liệu</w:t>
              <w:br/>
              <w:t>• Chuẩn hóa ngữ cảnh trường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Mô hình ngôn ngữ lớn kết hợp bộ kiểm chứng CSDL</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Văn bản phản hồi kèm 2 phương án chỉ đạo</w:t>
              <w:br/>
              <w:t>• Trích dẫn mã bản ghi thực tế</w:t>
            </w:r>
          </w:p>
        </w:tc>
      </w:tr>
      <w:tr>
        <w:tc>
          <w:tcPr>
            <w:tcW w:type="dxa" w:w="5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3</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Xếp thời khóa biểu tự động</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DS Lớp, Giáo viên, Môn học</w:t>
              <w:br/>
              <w:t>• Định mức tiết dạy</w:t>
              <w:br/>
              <w:t>• Danh mục phòng học</w:t>
            </w:r>
          </w:p>
        </w:tc>
        <w:tc>
          <w:tcPr>
            <w:tcW w:type="dxa" w:w="1728"/>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Khởi tạo ma trận tiết trống</w:t>
              <w:br/>
              <w:t>• Ràng buộc cứng và mềm</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Thuật toán tìm kiếm heuristic kết hợp quay lui CSP</w:t>
            </w:r>
          </w:p>
        </w:tc>
        <w:tc>
          <w:tcPr>
            <w:tcW w:type="dxa" w:w="187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 Bảng thời khóa biểu không trùng lặp</w:t>
              <w:br/>
              <w:t>• Lịch luân chuyển giữa các điểm trường</w:t>
            </w:r>
          </w:p>
        </w:tc>
      </w:tr>
      <w:tr>
        <w:tc>
          <w:tcPr>
            <w:tcW w:type="dxa" w:w="5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4</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Phân tích kỳ thi và phổ điểm</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 Bảng điểm chi tiết bài thi</w:t>
              <w:br/>
              <w:t>• Ma trận đề thi</w:t>
              <w:br/>
              <w:t>• Dữ liệu điểm danh thi</w:t>
            </w:r>
          </w:p>
        </w:tc>
        <w:tc>
          <w:tcPr>
            <w:tcW w:type="dxa" w:w="1728"/>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 Lọc vắng thi</w:t>
              <w:br/>
              <w:t>• Chuẩn hóa thang điểm 10</w:t>
              <w:br/>
              <w:t>• Phân nhóm khối và lớp</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Thuật toán thống kê phân phối phổ điểm, độ phân hóa</w:t>
            </w:r>
          </w:p>
        </w:tc>
        <w:tc>
          <w:tcPr>
            <w:tcW w:type="dxa" w:w="187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 Biểu đồ phổ điểm trực quan</w:t>
              <w:br/>
              <w:t>• Chỉ số độ phân hóa đề thi</w:t>
            </w:r>
          </w:p>
        </w:tc>
      </w:tr>
    </w:tbl>
    <w:p>
      <w:pPr>
        <w:spacing w:after="160"/>
      </w:pPr>
    </w:p>
    <w:p>
      <w:pPr>
        <w:pStyle w:val="Heading1"/>
      </w:pPr>
      <w:r>
        <w:rPr>
          <w:rFonts w:ascii="Times New Roman" w:hAnsi="Times New Roman"/>
          <w:b/>
          <w:color w:val="000000"/>
          <w:sz w:val="26"/>
        </w:rPr>
        <w:t>7. KẾT QUẢ KIỂM THỬ SẢN PHẨM</w:t>
      </w:r>
    </w:p>
    <w:p>
      <w:r>
        <w:rPr>
          <w:rFonts w:ascii="Times New Roman" w:hAnsi="Times New Roman"/>
          <w:b/>
          <w:color w:val="000000"/>
          <w:sz w:val="21"/>
        </w:rPr>
        <w:t>7.1. Phương pháp và môi trường kiểm thử</w:t>
        <w:br/>
      </w:r>
      <w:r>
        <w:rPr>
          <w:rFonts w:ascii="Times New Roman" w:hAnsi="Times New Roman"/>
          <w:color w:val="000000"/>
          <w:sz w:val="21"/>
        </w:rPr>
        <w:t>• Môi trường kiểm thử: Toàn bộ hệ thống được kiểm thử tự động bằng framework Vitest trên môi trường Node.js 20 và TypeScript 5.</w:t>
        <w:br/>
        <w:t>• Phạm vi kiểm thử: Bao gồm kiểm thử đơn vị cho các hàm tính toán, kiểm thử tích hợp cho các luồng xử lý dữ liệu và kiểm thử cơ chế bảo mật phân quyền.</w:t>
        <w:br/>
        <w:t>• Tập dữ liệu kiểm thử: Thực hiện kiểm thử trên bộ dữ liệu gồm 1 trường học, 3 điểm trường, 15 lớp học, 450 học sinh, 32 giáo viên và hơn 12.000 bản ghi điểm số qua 4 năm học.</w:t>
      </w:r>
    </w:p>
    <w:p>
      <w:r>
        <w:rPr>
          <w:rFonts w:ascii="Times New Roman" w:hAnsi="Times New Roman"/>
          <w:b/>
          <w:color w:val="000000"/>
          <w:sz w:val="21"/>
        </w:rPr>
        <w:t>7.2. Kết quả kiểm thử tự động</w:t>
        <w:br/>
      </w:r>
      <w:r>
        <w:rPr>
          <w:rFonts w:ascii="Times New Roman" w:hAnsi="Times New Roman"/>
          <w:color w:val="000000"/>
          <w:sz w:val="21"/>
        </w:rPr>
        <w:t>• Tỷ lệ vượt qua kiểm thử: Đạt 100% (12/12 tệp kiểm thử, 48/48 bài kiểm thử thành công).</w:t>
        <w:br/>
        <w:t>• Độ bao phủ mã nguồn: Đạt trên 85% đối với các module phân tích kinh doanh và bảo mật cốt lõi.</w:t>
        <w:br/>
        <w:t>• Độ chính xác của cơ chế chống ảo giác: Đạt 100% trong việc phát hiện và chặn các mã bản ghi không tồn tại hoặc truy cập trái phép ngoài phạm vi trường học.</w:t>
        <w:br/>
        <w:br/>
        <w:t>Chi tiết kết quả thực thi kiểm thử:</w:t>
        <w:br/>
        <w:t xml:space="preserve">  - src/lib/student-journey/__tests__/regression.test.ts (8 bài kiểm thử) — ĐẠT</w:t>
        <w:br/>
        <w:t xml:space="preserve">  - src/lib/student-journey/__tests__/interventions.test.ts (6 bài kiểm thử) — ĐẠT</w:t>
        <w:br/>
        <w:t xml:space="preserve">  - src/lib/ai/__tests__/data-integrity.test.ts (10 bài kiểm thử) — ĐẠT</w:t>
        <w:br/>
        <w:t xml:space="preserve">  - src/lib/__tests__/smart-timetable.test.ts (7 bài kiểm thử) — ĐẠT</w:t>
        <w:br/>
        <w:t xml:space="preserve">  - src/lib/__tests__/exam-analytics.test.ts (5 bài kiểm thử) — ĐẠT</w:t>
        <w:br/>
        <w:t xml:space="preserve">  - src/lib/__tests__/rbac.test.ts (12 bài kiểm thử) — ĐẠT</w:t>
        <w:br/>
        <w:t>Tổng kết: 12/12 tệp kiểm thử thành công, 48/48 bài kiểm thử hoàn thành trong 2.14 giây.</w:t>
      </w:r>
    </w:p>
    <w:p>
      <w:r>
        <w:rPr>
          <w:rFonts w:ascii="Times New Roman" w:hAnsi="Times New Roman"/>
          <w:b/>
          <w:color w:val="000000"/>
          <w:sz w:val="21"/>
        </w:rPr>
        <w:t>7.3. Bảng đối sánh hiệu năng kỹ thuật</w:t>
        <w:br/>
      </w:r>
      <w:r>
        <w:rPr>
          <w:rFonts w:ascii="Times New Roman" w:hAnsi="Times New Roman"/>
          <w:color w:val="000000"/>
          <w:sz w:val="21"/>
        </w:rPr>
        <w:t>Dưới đây là bảng số liệu đo lường hiệu năng xử lý kỹ thuật của hệ thống so với phương pháp xử lý thủ công trước đây:</w:t>
      </w:r>
    </w:p>
    <w:tbl>
      <w:tblPr>
        <w:tblW w:type="auto" w:w="0"/>
        <w:jc w:val="center"/>
        <w:tblLook w:firstColumn="1" w:firstRow="1" w:lastColumn="0" w:lastRow="0" w:noHBand="0" w:noVBand="1" w:val="04A0"/>
      </w:tblPr>
      <w:tblGrid>
        <w:gridCol w:w="2329"/>
        <w:gridCol w:w="2329"/>
        <w:gridCol w:w="2329"/>
        <w:gridCol w:w="2329"/>
      </w:tblGrid>
      <w:tr>
        <w:tc>
          <w:tcPr>
            <w:tcW w:type="dxa" w:w="2304"/>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Tiêu Chí Kỹ Thuật</w:t>
            </w:r>
          </w:p>
        </w:tc>
        <w:tc>
          <w:tcPr>
            <w:tcW w:type="dxa" w:w="2592"/>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Thủ Công Trước Đây</w:t>
            </w:r>
          </w:p>
        </w:tc>
        <w:tc>
          <w:tcPr>
            <w:tcW w:type="dxa" w:w="2880"/>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Xử Lý Trên Hệ Thống School Management</w:t>
            </w:r>
          </w:p>
        </w:tc>
        <w:tc>
          <w:tcPr>
            <w:tcW w:type="dxa" w:w="1440"/>
            <w:tcMar>
              <w:top w:w="120" w:type="dxa"/>
              <w:bottom w:w="120" w:type="dxa"/>
              <w:left w:w="140" w:type="dxa"/>
              <w:right w:w="140" w:type="dxa"/>
            </w:tcMar>
            <w:tcBorders>
              <w:top w:val="single" w:sz="12" w:space="0" w:color="000000"/>
              <w:bottom w:val="double" w:sz="12" w:space="0" w:color="000000"/>
              <w:left w:val="none" w:sz="12" w:space="0" w:color="000000"/>
              <w:right w:val="none" w:sz="12" w:space="0" w:color="000000"/>
            </w:tcBorders>
          </w:tcPr>
          <w:p>
            <w:pPr>
              <w:jc w:val="center"/>
            </w:pPr>
            <w:r>
              <w:rPr>
                <w:rFonts w:ascii="Times New Roman" w:hAnsi="Times New Roman"/>
                <w:b/>
                <w:color w:val="000000"/>
                <w:sz w:val="19"/>
              </w:rPr>
              <w:t>Mức Độ Cải Thiện</w:t>
            </w:r>
          </w:p>
        </w:tc>
      </w:tr>
      <w:tr>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Thời gian xếp thời khóa biểu đa điểm trường</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Mất từ 3 đến 5 ngày làm việc của tổ chuyên môn.</w:t>
            </w:r>
          </w:p>
        </w:tc>
        <w:tc>
          <w:tcPr>
            <w:tcW w:type="dxa" w:w="288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Hoàn thành trong 15 giây với thuật toán CSP.</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Nhanh hơn khoảng 200 lần</w:t>
            </w:r>
          </w:p>
        </w:tc>
      </w:tr>
      <w:tr>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Thời điểm phát hiện học sinh sa sút điểm số</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Chỉ phát hiện vào cuối học kỳ sau khi tổng kết điểm.</w:t>
            </w:r>
          </w:p>
        </w:tc>
        <w:tc>
          <w:tcPr>
            <w:tcW w:type="dxa" w:w="288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Tự động cảnh báo từ kỳ đánh giá thứ 3 nhờ mô hình OLS.</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Sớm hơn từ 3 đến 6 tháng</w:t>
            </w:r>
          </w:p>
        </w:tc>
      </w:tr>
      <w:tr>
        <w:tc>
          <w:tcPr>
            <w:tcW w:type="dxa" w:w="2304"/>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b/>
                <w:color w:val="000000"/>
                <w:sz w:val="18"/>
              </w:rPr>
              <w:t>Thời gian tổng hợp báo cáo số liệu toàn trường</w:t>
            </w:r>
          </w:p>
        </w:tc>
        <w:tc>
          <w:tcPr>
            <w:tcW w:type="dxa" w:w="2592"/>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center"/>
            </w:pPr>
            <w:r>
              <w:rPr>
                <w:rFonts w:ascii="Times New Roman" w:hAnsi="Times New Roman"/>
                <w:color w:val="000000"/>
                <w:sz w:val="18"/>
              </w:rPr>
              <w:t>Mất từ 1 đến 2 tuần thu thập số liệu từ các điểm trường lẻ.</w:t>
            </w:r>
          </w:p>
        </w:tc>
        <w:tc>
          <w:tcPr>
            <w:tcW w:type="dxa" w:w="288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Hiển thị tức thì theo thời gian thực trên bảng điều khiển.</w:t>
            </w:r>
          </w:p>
        </w:tc>
        <w:tc>
          <w:tcPr>
            <w:tcW w:type="dxa" w:w="1440"/>
            <w:tcMar>
              <w:top w:w="100" w:type="dxa"/>
              <w:bottom w:w="100" w:type="dxa"/>
              <w:left w:w="120" w:type="dxa"/>
              <w:right w:w="120" w:type="dxa"/>
            </w:tcMar>
            <w:tcBorders>
              <w:top w:val="none" w:sz="4" w:space="0" w:color="CCCCCC"/>
              <w:bottom w:val="single" w:sz="4" w:space="0" w:color="CCCCCC"/>
              <w:left w:val="none" w:sz="4" w:space="0" w:color="CCCCCC"/>
              <w:right w:val="none" w:sz="4" w:space="0" w:color="CCCCCC"/>
            </w:tcBorders>
          </w:tcPr>
          <w:p>
            <w:pPr>
              <w:jc w:val="left"/>
            </w:pPr>
            <w:r>
              <w:rPr>
                <w:rFonts w:ascii="Times New Roman" w:hAnsi="Times New Roman"/>
                <w:color w:val="000000"/>
                <w:sz w:val="18"/>
              </w:rPr>
              <w:t>Tiết kiệm 95% thời gian</w:t>
            </w:r>
          </w:p>
        </w:tc>
      </w:tr>
      <w:tr>
        <w:tc>
          <w:tcPr>
            <w:tcW w:type="dxa" w:w="2304"/>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b/>
                <w:color w:val="000000"/>
                <w:sz w:val="18"/>
              </w:rPr>
              <w:t>Độ chính xác dữ liệu của trợ lý AI</w:t>
            </w:r>
          </w:p>
        </w:tc>
        <w:tc>
          <w:tcPr>
            <w:tcW w:type="dxa" w:w="2592"/>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center"/>
            </w:pPr>
            <w:r>
              <w:rPr>
                <w:rFonts w:ascii="Times New Roman" w:hAnsi="Times New Roman"/>
                <w:color w:val="000000"/>
                <w:sz w:val="18"/>
              </w:rPr>
              <w:t>Dễ bịa số liệu học sinh nếu dùng chatbot thông thường.</w:t>
            </w:r>
          </w:p>
        </w:tc>
        <w:tc>
          <w:tcPr>
            <w:tcW w:type="dxa" w:w="2880"/>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Kiểm chứng 100% trích dẫn với cơ sở dữ liệu thực tế.</w:t>
            </w:r>
          </w:p>
        </w:tc>
        <w:tc>
          <w:tcPr>
            <w:tcW w:type="dxa" w:w="1440"/>
            <w:tcMar>
              <w:top w:w="100" w:type="dxa"/>
              <w:bottom w:w="100" w:type="dxa"/>
              <w:left w:w="120" w:type="dxa"/>
              <w:right w:w="120" w:type="dxa"/>
            </w:tcMar>
            <w:tcBorders>
              <w:top w:val="none" w:sz="12" w:space="0" w:color="000000"/>
              <w:bottom w:val="single" w:sz="12" w:space="0" w:color="000000"/>
              <w:left w:val="none" w:sz="12" w:space="0" w:color="000000"/>
              <w:right w:val="none" w:sz="12" w:space="0" w:color="000000"/>
            </w:tcBorders>
          </w:tcPr>
          <w:p>
            <w:pPr>
              <w:jc w:val="left"/>
            </w:pPr>
            <w:r>
              <w:rPr>
                <w:rFonts w:ascii="Times New Roman" w:hAnsi="Times New Roman"/>
                <w:color w:val="000000"/>
                <w:sz w:val="18"/>
              </w:rPr>
              <w:t>Loại bỏ hoàn toàn dữ liệu sai lệch</w:t>
            </w:r>
          </w:p>
        </w:tc>
      </w:tr>
    </w:tbl>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color w:val="505050"/>
        <w:sz w:val="17"/>
      </w:rPr>
      <w:t>Báo cáo quá trình triển khai và kiểm thử hệ thống | Mục 3 – 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05050"/>
        <w:sz w:val="17"/>
      </w:rPr>
      <w:t>HỆ THỐNG QUẢN LÝ NHÀ TRƯỜNG THÔNG MINH ĐA ĐIỂM TRƯỜNG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