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D17C" w14:textId="6AFC8171" w:rsidR="008A2403" w:rsidRPr="00257735" w:rsidRDefault="008A2403" w:rsidP="00257735">
      <w:pPr>
        <w:pStyle w:val="TITULO"/>
        <w:keepLines/>
        <w:spacing w:before="80" w:after="80" w:line="257" w:lineRule="auto"/>
        <w:jc w:val="center"/>
        <w:rPr>
          <w:lang w:val="es-CO"/>
        </w:rPr>
      </w:pPr>
      <w:r>
        <w:rPr>
          <w:sz w:val="31"/>
        </w:rPr>
        <w:t>DNS PARA OPERACIONES NOC, ISP Y ENTORNOS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184"/>
      </w:tblGrid>
      <w:tr w:rsidR="008A2403" w14:paraId="5FFC9868" w14:textId="77777777" w:rsidTr="00002AAD">
        <w:trPr>
          <w:jc w:val="center"/>
        </w:trPr>
        <w:tc>
          <w:tcPr>
            <w:tcW w:w="97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33DE41" w14:textId="77777777" w:rsidR="00297FA5" w:rsidRDefault="00000000">
            <w:pPr>
              <w:pStyle w:val="CuerpoDNS"/>
              <w:jc w:val="both"/>
            </w:pPr>
            <w:r>
              <w:t>Programa técnico de 28 horas orientado a ingenieros de NOC y personal de configuración que administran o soportan servicios DNS en ambientes empresariales y de operadores ISP. El curso desarrolla competencias de arquitectura, operación, monitoreo, diagnóstico, ciberseguridad y análisis de causa raíz mediante una topología de laboratorio virtual y escenarios de incidentes.</w:t>
            </w:r>
          </w:p>
        </w:tc>
      </w:tr>
      <w:tr w:rsidR="008A2403" w14:paraId="35C51A41" w14:textId="77777777" w:rsidTr="00002AAD">
        <w:trPr>
          <w:jc w:val="center"/>
        </w:trPr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E22674" w14:textId="77777777" w:rsidR="00297FA5" w:rsidRDefault="00000000">
            <w:pPr>
              <w:pStyle w:val="SubtitulosTabla"/>
              <w:spacing w:before="0" w:after="0"/>
            </w:pPr>
            <w:r>
              <w:rPr>
                <w:sz w:val="19"/>
              </w:rPr>
              <w:t>Objetivos del curso</w:t>
            </w:r>
          </w:p>
        </w:tc>
        <w:tc>
          <w:tcPr>
            <w:tcW w:w="71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E9E483" w14:textId="77777777" w:rsidR="00297FA5" w:rsidRDefault="00000000">
            <w:pPr>
              <w:pStyle w:val="CuerpoDNS"/>
              <w:spacing w:before="0" w:after="0"/>
              <w:jc w:val="both"/>
            </w:pPr>
            <w:r>
              <w:t>Al finalizar, el participante podrá: diseñar y explicar arquitecturas DNS empresariales/ISP; configurar zonas, delegaciones y registros; diagnosticar fallas de resolución; implementar monitoreo proactivo; aplicar controles de seguridad DNS; y ejecutar gestión de incidentes y RCA con evidencias técnicas.</w:t>
            </w:r>
          </w:p>
        </w:tc>
      </w:tr>
      <w:tr w:rsidR="008A2403" w14:paraId="54FD9106" w14:textId="77777777" w:rsidTr="00002AAD">
        <w:trPr>
          <w:jc w:val="center"/>
        </w:trPr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F07484" w14:textId="77777777" w:rsidR="00297FA5" w:rsidRDefault="00000000">
            <w:pPr>
              <w:pStyle w:val="SubtitulosTabla"/>
              <w:spacing w:before="0" w:after="0"/>
            </w:pPr>
            <w:r>
              <w:rPr>
                <w:sz w:val="19"/>
              </w:rPr>
              <w:t>Perfil de audiencia</w:t>
            </w:r>
          </w:p>
        </w:tc>
        <w:tc>
          <w:tcPr>
            <w:tcW w:w="71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B2E0C4" w14:textId="77777777" w:rsidR="00297FA5" w:rsidRDefault="00000000">
            <w:pPr>
              <w:pStyle w:val="CuerpoDNS"/>
              <w:spacing w:before="0" w:after="0"/>
              <w:jc w:val="both"/>
            </w:pPr>
            <w:r>
              <w:t>Ingenieros de gestión, configuradores y personal de soporte del NOC; administradores de redes/DNS; personal de operación de servicios IP y equipos de soporte de segundo o tercer nivel en entornos empresariales o ISP.</w:t>
            </w:r>
          </w:p>
        </w:tc>
      </w:tr>
      <w:tr w:rsidR="008A2403" w14:paraId="3EDA90FD" w14:textId="77777777" w:rsidTr="00002AAD">
        <w:trPr>
          <w:jc w:val="center"/>
        </w:trPr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659FDD" w14:textId="77777777" w:rsidR="00297FA5" w:rsidRDefault="00000000">
            <w:pPr>
              <w:pStyle w:val="SubtitulosTabla"/>
              <w:spacing w:before="0" w:after="0"/>
            </w:pPr>
            <w:r>
              <w:rPr>
                <w:sz w:val="19"/>
              </w:rPr>
              <w:t>Prerrequisitos</w:t>
            </w:r>
          </w:p>
        </w:tc>
        <w:tc>
          <w:tcPr>
            <w:tcW w:w="71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B2A0E7" w14:textId="77777777" w:rsidR="00297FA5" w:rsidRDefault="00000000">
            <w:pPr>
              <w:pStyle w:val="CuerpoDNS"/>
              <w:spacing w:before="0" w:after="0"/>
              <w:jc w:val="both"/>
            </w:pPr>
            <w:r>
              <w:t>Conocimientos de TCP/IP, direccionamiento IPv4/IPv6 y operación básica de redes. Manejo básico de línea de comandos Linux. No se requiere experiencia previa administrando BIND o Unbound.</w:t>
            </w:r>
          </w:p>
        </w:tc>
      </w:tr>
      <w:tr w:rsidR="004F0929" w14:paraId="48F6DD2F" w14:textId="77777777" w:rsidTr="00002AAD">
        <w:trPr>
          <w:jc w:val="center"/>
        </w:trPr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D37990" w14:textId="77777777" w:rsidR="00297FA5" w:rsidRDefault="00000000">
            <w:pPr>
              <w:pStyle w:val="SubtitulosTabla"/>
              <w:spacing w:before="0" w:after="0"/>
            </w:pPr>
            <w:r>
              <w:rPr>
                <w:sz w:val="19"/>
              </w:rPr>
              <w:t>Versión de la tecnología</w:t>
            </w:r>
          </w:p>
        </w:tc>
        <w:tc>
          <w:tcPr>
            <w:tcW w:w="71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EB5344" w14:textId="77777777" w:rsidR="00297FA5" w:rsidRDefault="00000000">
            <w:pPr>
              <w:pStyle w:val="CuerpoDNS"/>
              <w:spacing w:before="0" w:after="0"/>
              <w:jc w:val="both"/>
            </w:pPr>
            <w:r>
              <w:t>BIND 9, Unbound, dnsutils, Wireshark/tcpdump, Prometheus, Grafana y herramientas auxiliares open source en versiones estables vigentes al momento de la impartición.</w:t>
            </w:r>
          </w:p>
        </w:tc>
      </w:tr>
    </w:tbl>
    <w:p w14:paraId="7F2F385F" w14:textId="77777777" w:rsidR="00297FA5" w:rsidRDefault="00297FA5">
      <w:pPr>
        <w:sectPr w:rsidR="00297FA5">
          <w:headerReference w:type="default" r:id="rId11"/>
          <w:footerReference w:type="default" r:id="rId12"/>
          <w:pgSz w:w="12240" w:h="15840"/>
          <w:pgMar w:top="1128" w:right="1247" w:bottom="864" w:left="1247" w:header="697" w:footer="403" w:gutter="0"/>
          <w:cols w:space="708"/>
          <w:docGrid w:linePitch="360"/>
        </w:sectPr>
      </w:pPr>
    </w:p>
    <w:p w14:paraId="5192984F" w14:textId="77777777" w:rsidR="00297FA5" w:rsidRDefault="00000000">
      <w:pPr>
        <w:pStyle w:val="TITULO2"/>
        <w:keepNext/>
        <w:keepLines/>
        <w:spacing w:before="160" w:after="120"/>
      </w:pPr>
      <w:r>
        <w:lastRenderedPageBreak/>
        <w:t>ESQUEMA DEL CURSO</w:t>
      </w:r>
    </w:p>
    <w:p w14:paraId="7FE9FC04" w14:textId="77777777" w:rsidR="00297FA5" w:rsidRDefault="00000000">
      <w:pPr>
        <w:pStyle w:val="CuerpoDNS"/>
        <w:spacing w:after="120"/>
      </w:pPr>
      <w:r>
        <w:rPr>
          <w:b/>
        </w:rPr>
        <w:t xml:space="preserve">Duración total: </w:t>
      </w:r>
      <w:r>
        <w:t xml:space="preserve">28 horas. </w:t>
      </w:r>
      <w:r>
        <w:rPr>
          <w:b/>
        </w:rPr>
        <w:t xml:space="preserve">Distribución metodológica: </w:t>
      </w:r>
      <w:r>
        <w:t>19 h 45 min de práctica (70.5%) y 8 h 15 min de teoría (29.5%).</w:t>
      </w:r>
    </w:p>
    <w:p w14:paraId="57239B46" w14:textId="77777777" w:rsidR="00297FA5" w:rsidRDefault="00000000">
      <w:pPr>
        <w:pStyle w:val="ModuloDetalle"/>
        <w:keepNext/>
        <w:keepLines/>
      </w:pPr>
      <w:r>
        <w:t>Módulo 1. Fundamentos y arquitectura DNS en ambientes empresariales y de operadores ISP - 3 h 30 min</w:t>
      </w:r>
    </w:p>
    <w:p w14:paraId="46045287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Función del DNS dentro de la infraestructura IP y dependencia de aplicaciones, correo, navegación y servicios de red.</w:t>
      </w:r>
    </w:p>
    <w:p w14:paraId="2EDEDB70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Estructura jerárquica: espacio de nombres, dominios, zonas, servidores raíz, TLD y servidores autoritativos.</w:t>
      </w:r>
    </w:p>
    <w:p w14:paraId="36951BB9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Componentes del servicio: stub resolver, resolver recursivo/caché, forwarder, servidor autoritativo primario y secundario.</w:t>
      </w:r>
    </w:p>
    <w:p w14:paraId="11555F5A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Resolución recursiva e iterativa; delegación de zonas, glue records, caché y TTL.</w:t>
      </w:r>
    </w:p>
    <w:p w14:paraId="1337BCB1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Arquitecturas empresariales e ISP: separación de roles, DNS interno/externo, redundancia, alta disponibilidad, escalabilidad y concepto de Anycast.</w:t>
      </w:r>
    </w:p>
    <w:p w14:paraId="5C4E803B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Transporte DNS sobre UDP/TCP 53, EDNS(0) y consideraciones básicas para IPv4/IPv6.</w:t>
      </w:r>
    </w:p>
    <w:p w14:paraId="4A9A3E89" w14:textId="77777777" w:rsidR="00297FA5" w:rsidRDefault="00000000">
      <w:pPr>
        <w:pStyle w:val="SubtemaDNS"/>
        <w:keepNext/>
        <w:keepLines/>
      </w:pPr>
      <w:r>
        <w:t>Práctica de laboratorio: Construcción de una mini-arquitectura DNS Enterprise/ISP (2 h 15 min)</w:t>
      </w:r>
    </w:p>
    <w:p w14:paraId="1A5DE537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Desplegar en máquinas virtuales o contenedores un cliente, un resolver recursivo Unbound y servidores BIND autoritativos primario/secundario.</w:t>
      </w:r>
    </w:p>
    <w:p w14:paraId="1F2F217C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Crear una jerarquía DNS privada con zona padre e hija para observar delegación y autoridad.</w:t>
      </w:r>
    </w:p>
    <w:p w14:paraId="6E2455DB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Ejecutar consultas recursivas e iterativas con dig y dig +trace.</w:t>
      </w:r>
    </w:p>
    <w:p w14:paraId="02FE9B2A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Capturar tráfico con tcpdump/Wireshark e identificar consultas, respuestas, puertos, servidores consultados y tiempos de resolución.</w:t>
      </w:r>
    </w:p>
    <w:p w14:paraId="7C933D3F" w14:textId="77777777" w:rsidR="00297FA5" w:rsidRDefault="00000000">
      <w:pPr>
        <w:pStyle w:val="NotaDNS"/>
        <w:ind w:left="173"/>
      </w:pPr>
      <w:r>
        <w:t>Laboratorio realizable con Linux y software open source; no requiere appliances DNS ni hardware de red especializado.</w:t>
      </w:r>
    </w:p>
    <w:p w14:paraId="37A1936C" w14:textId="77777777" w:rsidR="00297FA5" w:rsidRDefault="00000000">
      <w:r>
        <w:br w:type="page"/>
      </w:r>
    </w:p>
    <w:p w14:paraId="4CA1789D" w14:textId="77777777" w:rsidR="00297FA5" w:rsidRDefault="00000000">
      <w:pPr>
        <w:pStyle w:val="ModuloDetalle"/>
        <w:keepNext/>
        <w:keepLines/>
      </w:pPr>
      <w:r>
        <w:lastRenderedPageBreak/>
        <w:t>Módulo 2. Tipos de registros DNS, su funcionalidad, impacto operativo y proceso de resolución de nombres - 4 h</w:t>
      </w:r>
    </w:p>
    <w:p w14:paraId="699D0BD4" w14:textId="77777777" w:rsidR="00297FA5" w:rsidRDefault="00000000">
      <w:pPr>
        <w:pStyle w:val="CuerpoDNS"/>
        <w:spacing w:after="60"/>
      </w:pPr>
      <w:r>
        <w:rPr>
          <w:b/>
        </w:rPr>
        <w:t xml:space="preserve">Distribución: </w:t>
      </w:r>
      <w:r>
        <w:t>Teoría 1 h 15 min | Práctica 2 h 45 min</w:t>
      </w:r>
    </w:p>
    <w:p w14:paraId="48DBBA54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Estructura de archivos de zona y parámetros operativos del registro SOA.</w:t>
      </w:r>
    </w:p>
    <w:p w14:paraId="3087FB16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Registros A, AAAA, CNAME, MX, NS, PTR, TXT, SRV y CAA: uso, dependencias e impacto de una configuración incorrecta.</w:t>
      </w:r>
    </w:p>
    <w:p w14:paraId="6BB85B46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Zonas directas e inversas, delegaciones, subdominios y registros glue.</w:t>
      </w:r>
    </w:p>
    <w:p w14:paraId="1A9275EE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TTL, caché positiva y negativa, propagación de cambios y efectos sobre la recuperación de incidentes.</w:t>
      </w:r>
    </w:p>
    <w:p w14:paraId="7FC2FBB5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Transferencias de zona AXFR/IXFR, sincronización primario/secundario y control del serial.</w:t>
      </w:r>
    </w:p>
    <w:p w14:paraId="763F3D32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Proceso completo de resolución de nombres desde el cliente hasta la respuesta autoritativa.</w:t>
      </w:r>
    </w:p>
    <w:p w14:paraId="731B9D79" w14:textId="77777777" w:rsidR="00297FA5" w:rsidRDefault="00000000">
      <w:pPr>
        <w:pStyle w:val="SubtemaDNS"/>
        <w:keepNext/>
        <w:keepLines/>
      </w:pPr>
      <w:r>
        <w:t>Práctica de laboratorio: Administración de zonas, registros y comportamiento de caché (2 h 45 min)</w:t>
      </w:r>
    </w:p>
    <w:p w14:paraId="057523F8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Crear zonas forward y reverse en BIND y configurar registros A/AAAA, CNAME, MX, NS, PTR, TXT, SRV y CAA.</w:t>
      </w:r>
    </w:p>
    <w:p w14:paraId="79F1A20E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Configurar servidor secundario y validar transferencias AXFR/IXFR y seriales SOA.</w:t>
      </w:r>
    </w:p>
    <w:p w14:paraId="45E2DF6F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Implementar una delegación de subdominio y validar glue records.</w:t>
      </w:r>
    </w:p>
    <w:p w14:paraId="2BA271FA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Modificar TTL y observar caché, expiración y propagación mediante dig, rndc y consultas repetidas.</w:t>
      </w:r>
    </w:p>
    <w:p w14:paraId="11FB56B2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Analizar con Wireshark la secuencia de resolución y documentar el efecto operativo de cambios de registros.</w:t>
      </w:r>
    </w:p>
    <w:p w14:paraId="72399A17" w14:textId="77777777" w:rsidR="00297FA5" w:rsidRDefault="00000000">
      <w:r>
        <w:br w:type="page"/>
      </w:r>
    </w:p>
    <w:p w14:paraId="26D963BC" w14:textId="77777777" w:rsidR="00297FA5" w:rsidRDefault="00000000">
      <w:pPr>
        <w:pStyle w:val="ModuloDetalle"/>
        <w:keepNext/>
        <w:keepLines/>
      </w:pPr>
      <w:r>
        <w:lastRenderedPageBreak/>
        <w:t>Módulo 3. Diagnóstico y solución de incidentes DNS, incluyendo fallas recurrentes en entornos NOC - 4 h 30 min</w:t>
      </w:r>
    </w:p>
    <w:p w14:paraId="7CD3F50A" w14:textId="77777777" w:rsidR="00297FA5" w:rsidRDefault="00000000">
      <w:pPr>
        <w:pStyle w:val="CuerpoDNS"/>
        <w:spacing w:after="60"/>
      </w:pPr>
      <w:r>
        <w:rPr>
          <w:b/>
        </w:rPr>
        <w:t xml:space="preserve">Distribución: </w:t>
      </w:r>
      <w:r>
        <w:t>Teoría 1 h | Práctica 3 h 30 min</w:t>
      </w:r>
    </w:p>
    <w:p w14:paraId="6A6C875A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Metodología de troubleshooting orientada al NOC: alcance, síntomas, punto de falla, hipótesis, evidencia, corrección y validación.</w:t>
      </w:r>
    </w:p>
    <w:p w14:paraId="60917850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Interpretación de códigos y respuestas DNS: NOERROR, NXDOMAIN, SERVFAIL, REFUSED, timeout y respuestas incompletas.</w:t>
      </w:r>
    </w:p>
    <w:p w14:paraId="47C16F20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Fallas frecuentes: registros incorrectos, caché desactualizada, delegación/glue defectuosos, secundario desincronizado, serial incorrecto, transferencias bloqueadas y resolución intermitente.</w:t>
      </w:r>
    </w:p>
    <w:p w14:paraId="62D10533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Diagnóstico de conectividad y transporte: UDP/TCP 53, fragmentación/EDNS(0), latencia y reachability hacia servidores autoritativos.</w:t>
      </w:r>
    </w:p>
    <w:p w14:paraId="07C168EC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Herramientas de operación: dig, host, nslookup, delv, rndc, journalctl, logs de BIND/Unbound, tcpdump y Wireshark.</w:t>
      </w:r>
    </w:p>
    <w:p w14:paraId="21E2CEB9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Criterios de escalamiento, recolección de evidencias y documentación técnica para incidentes DNS.</w:t>
      </w:r>
    </w:p>
    <w:p w14:paraId="15215066" w14:textId="77777777" w:rsidR="00297FA5" w:rsidRDefault="00000000">
      <w:pPr>
        <w:pStyle w:val="SubtemaDNS"/>
        <w:keepNext/>
        <w:keepLines/>
      </w:pPr>
      <w:r>
        <w:t>Práctica de laboratorio: Challenge NOC: diagnóstico de múltiples fallas DNS (3 h 30 min)</w:t>
      </w:r>
    </w:p>
    <w:p w14:paraId="3A160D95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Recibir una topología con fallas sembradas y un conjunto de síntomas reportados por usuarios/monitoreo.</w:t>
      </w:r>
    </w:p>
    <w:p w14:paraId="7B13CD44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Localizar y corregir incidentes como NXDOMAIN inesperado, SERVFAIL, timeout, delegación errónea, secundario desactualizado y transferencia de zona fallida.</w:t>
      </w:r>
    </w:p>
    <w:p w14:paraId="41B69620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Correlacionar consultas dig, logs y captura de paquetes para determinar la causa técnica.</w:t>
      </w:r>
    </w:p>
    <w:p w14:paraId="14AA1D2C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Restaurar el servicio, validar la resolución desde diferentes clientes y registrar evidencias para escalamiento o cierre.</w:t>
      </w:r>
    </w:p>
    <w:p w14:paraId="5D2DE8C4" w14:textId="77777777" w:rsidR="00297FA5" w:rsidRDefault="00000000">
      <w:r>
        <w:br w:type="page"/>
      </w:r>
    </w:p>
    <w:p w14:paraId="4547817E" w14:textId="77777777" w:rsidR="00297FA5" w:rsidRDefault="00000000">
      <w:pPr>
        <w:pStyle w:val="ModuloDetalle"/>
        <w:keepNext/>
        <w:keepLines/>
      </w:pPr>
      <w:r>
        <w:lastRenderedPageBreak/>
        <w:t>Módulo 4. Herramientas y prácticas de monitoreo DNS para la gestión proactiva de la infraestructura - 3 h 30 min</w:t>
      </w:r>
    </w:p>
    <w:p w14:paraId="633F93E4" w14:textId="77777777" w:rsidR="00297FA5" w:rsidRDefault="00000000">
      <w:pPr>
        <w:pStyle w:val="CuerpoDNS"/>
        <w:spacing w:after="60"/>
      </w:pPr>
      <w:r>
        <w:rPr>
          <w:b/>
        </w:rPr>
        <w:t xml:space="preserve">Distribución: </w:t>
      </w:r>
      <w:r>
        <w:t>Teoría 45 min | Práctica 2 h 45 min</w:t>
      </w:r>
    </w:p>
    <w:p w14:paraId="191978DB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Objetivos de monitoreo: disponibilidad, latencia, tasa de errores, estado de resolución, capacidad y comportamiento de caché.</w:t>
      </w:r>
    </w:p>
    <w:p w14:paraId="013E3A09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Monitoreo desde la perspectiva del servicio: consultas sintéticas, pruebas desde distintos puntos y validación de respuestas esperadas.</w:t>
      </w:r>
    </w:p>
    <w:p w14:paraId="4B4521E4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Estadísticas y logging de BIND/Unbound; establecimiento de línea base y umbrales operativos.</w:t>
      </w:r>
    </w:p>
    <w:p w14:paraId="363211A1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Prometheus, Blackbox Exporter y Grafana como stack open source para métricas, probes DNS, dashboards y alertamiento.</w:t>
      </w:r>
    </w:p>
    <w:p w14:paraId="39DB1EB6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Buenas prácticas para reducir falsos positivos, diferenciar falla local/remota y soportar operación proactiva del NOC.</w:t>
      </w:r>
    </w:p>
    <w:p w14:paraId="26360210" w14:textId="77777777" w:rsidR="00297FA5" w:rsidRDefault="00000000">
      <w:pPr>
        <w:pStyle w:val="SubtemaDNS"/>
        <w:keepNext/>
        <w:keepLines/>
      </w:pPr>
      <w:r>
        <w:t>Práctica de laboratorio: Monitoreo proactivo y tablero operativo DNS (2 h 45 min)</w:t>
      </w:r>
    </w:p>
    <w:p w14:paraId="00F9E068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Habilitar estadísticas/logging del servicio DNS y recolectar métricas relevantes.</w:t>
      </w:r>
    </w:p>
    <w:p w14:paraId="0D2298ED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Configurar probes DNS con Prometheus/Blackbox Exporter para validar disponibilidad y tiempo de respuesta.</w:t>
      </w:r>
    </w:p>
    <w:p w14:paraId="035176D9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Construir un dashboard en Grafana con indicadores operativos del servicio.</w:t>
      </w:r>
    </w:p>
    <w:p w14:paraId="67490B07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Definir umbrales y generar alertas controladas ante caída del servicio, aumento de latencia y respuestas inesperadas.</w:t>
      </w:r>
    </w:p>
    <w:p w14:paraId="783909D5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Correlacionar una alerta con logs y pruebas activas para determinar el componente afectado.</w:t>
      </w:r>
    </w:p>
    <w:p w14:paraId="3F3B3A53" w14:textId="77777777" w:rsidR="00297FA5" w:rsidRDefault="00000000">
      <w:r>
        <w:br w:type="page"/>
      </w:r>
    </w:p>
    <w:p w14:paraId="5E394510" w14:textId="77777777" w:rsidR="00297FA5" w:rsidRDefault="00000000">
      <w:pPr>
        <w:pStyle w:val="ModuloDetalle"/>
        <w:keepNext/>
        <w:keepLines/>
      </w:pPr>
      <w:r>
        <w:lastRenderedPageBreak/>
        <w:t>Módulo 5. DNS y ciberseguridad: riesgos, vulnerabilidades y mecanismos de protección - 4 h</w:t>
      </w:r>
    </w:p>
    <w:p w14:paraId="561B5885" w14:textId="77777777" w:rsidR="00297FA5" w:rsidRDefault="00000000">
      <w:pPr>
        <w:pStyle w:val="CuerpoDNS"/>
        <w:spacing w:after="60"/>
      </w:pPr>
      <w:r>
        <w:rPr>
          <w:b/>
        </w:rPr>
        <w:t xml:space="preserve">Distribución: </w:t>
      </w:r>
      <w:r>
        <w:t>Teoría 1 h 15 min | Práctica 2 h 45 min</w:t>
      </w:r>
    </w:p>
    <w:p w14:paraId="721FBAC2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Superficie de ataque del DNS y consecuencias de disponibilidad, integridad y confidencialidad.</w:t>
      </w:r>
    </w:p>
    <w:p w14:paraId="464C9984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Riesgos: spoofing/cache poisoning, abuso de recursión abierta, amplification/reflection, DDoS, transferencias de zona no autorizadas, DNS tunneling y manipulación de registros.</w:t>
      </w:r>
    </w:p>
    <w:p w14:paraId="03AA2C4E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Separación de servicios recursivos y autoritativos, ACL, principio de mínimo privilegio y restricciones de recursion/transferencia.</w:t>
      </w:r>
    </w:p>
    <w:p w14:paraId="32726D86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TSIG para autenticación de transferencias y actualizaciones; Response Rate Limiting (RRL) como control frente a abuso.</w:t>
      </w:r>
    </w:p>
    <w:p w14:paraId="6AE08891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DNSSEC: cadena de confianza, DNSKEY, DS y RRSIG; firma, validación y efectos operativos de una cadena rota.</w:t>
      </w:r>
    </w:p>
    <w:p w14:paraId="42E4092E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Visibilidad de DNS cifrado (DoT/DoH) y consideraciones para monitoreo y políticas de seguridad del NOC.</w:t>
      </w:r>
    </w:p>
    <w:p w14:paraId="4140EFC5" w14:textId="77777777" w:rsidR="00297FA5" w:rsidRDefault="00000000">
      <w:pPr>
        <w:pStyle w:val="SubtemaDNS"/>
        <w:keepNext/>
        <w:keepLines/>
      </w:pPr>
      <w:r>
        <w:t>Práctica de laboratorio: Hardening, TSIG y DNSSEC en un entorno controlado (2 h 45 min)</w:t>
      </w:r>
    </w:p>
    <w:p w14:paraId="733B2C09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Restringir recursion y transferencias de zona mediante ACL y validar intentos permitidos/denegados.</w:t>
      </w:r>
    </w:p>
    <w:p w14:paraId="40153C72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Proteger la transferencia primario-secundario con TSIG.</w:t>
      </w:r>
    </w:p>
    <w:p w14:paraId="09BCBFE7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Firmar una zona con DNSSEC y validar respuestas con dig/delv.</w:t>
      </w:r>
    </w:p>
    <w:p w14:paraId="291AB645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Introducir una falla controlada de validación DNSSEC, identificar el SERVFAIL resultante y restaurar la cadena de confianza.</w:t>
      </w:r>
    </w:p>
    <w:p w14:paraId="00CF3522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Aplicar parámetros de hardening y RRL en la maqueta sin generar tráfico ofensivo hacia redes externas.</w:t>
      </w:r>
    </w:p>
    <w:p w14:paraId="28361871" w14:textId="77777777" w:rsidR="00297FA5" w:rsidRDefault="00000000">
      <w:pPr>
        <w:pStyle w:val="NotaDNS"/>
        <w:ind w:left="173"/>
      </w:pPr>
      <w:r>
        <w:t>Todas las pruebas de seguridad se ejecutan en una red virtual aislada y controlada.</w:t>
      </w:r>
    </w:p>
    <w:p w14:paraId="3E547EA5" w14:textId="77777777" w:rsidR="00297FA5" w:rsidRDefault="00000000">
      <w:r>
        <w:br w:type="page"/>
      </w:r>
    </w:p>
    <w:p w14:paraId="4A8B4BE2" w14:textId="77777777" w:rsidR="00297FA5" w:rsidRDefault="00000000">
      <w:pPr>
        <w:pStyle w:val="ModuloDetalle"/>
        <w:keepNext/>
        <w:keepLines/>
      </w:pPr>
      <w:r>
        <w:lastRenderedPageBreak/>
        <w:t>Módulo 6. Gestión de incidentes y análisis de causa raíz (RCA) asociados a servicios DNS - 3 h 30 min</w:t>
      </w:r>
    </w:p>
    <w:p w14:paraId="5CEAE747" w14:textId="77777777" w:rsidR="00297FA5" w:rsidRDefault="00000000">
      <w:pPr>
        <w:pStyle w:val="CuerpoDNS"/>
        <w:spacing w:after="60"/>
      </w:pPr>
      <w:r>
        <w:rPr>
          <w:b/>
        </w:rPr>
        <w:t xml:space="preserve">Distribución: </w:t>
      </w:r>
      <w:r>
        <w:t>Teoría 1 h | Práctica 2 h 30 min</w:t>
      </w:r>
    </w:p>
    <w:p w14:paraId="3AB78841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Ciclo de gestión del incidente: detección, clasificación, priorización, diagnóstico, contención, recuperación, validación y cierre.</w:t>
      </w:r>
    </w:p>
    <w:p w14:paraId="2DF2E9F3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Construcción de línea de tiempo y preservación de evidencias: logs, métricas, capturas, cambios y resultados de pruebas.</w:t>
      </w:r>
    </w:p>
    <w:p w14:paraId="5B05DBED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Diferencia entre síntoma, causa inmediata y causa raíz; técnicas de 5 porqués y árbol causal aplicadas a DNS.</w:t>
      </w:r>
    </w:p>
    <w:p w14:paraId="0AD30C56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Definición de acciones correctivas y preventivas, responsables, criterios de verificación y seguimiento.</w:t>
      </w:r>
    </w:p>
    <w:p w14:paraId="5D8CEEAC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Estructura de un informe RCA/post-incidente y actualización de runbooks para reducir recurrencia y MTTR.</w:t>
      </w:r>
    </w:p>
    <w:p w14:paraId="02AD1581" w14:textId="77777777" w:rsidR="00297FA5" w:rsidRDefault="00000000">
      <w:pPr>
        <w:pStyle w:val="SubtemaDNS"/>
        <w:keepNext/>
        <w:keepLines/>
      </w:pPr>
      <w:r>
        <w:t>Práctica de laboratorio: RCA de un incidente DNS con evidencia técnica (2 h 30 min)</w:t>
      </w:r>
    </w:p>
    <w:p w14:paraId="451EA13F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Recibir un incidente con alertas, logs, capturas y cambios recientes.</w:t>
      </w:r>
    </w:p>
    <w:p w14:paraId="431CCE3F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Restablecer el servicio y reconstruir la secuencia temporal de eventos.</w:t>
      </w:r>
    </w:p>
    <w:p w14:paraId="432127FE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Identificar causa inmediata, causa raíz y factores contribuyentes.</w:t>
      </w:r>
    </w:p>
    <w:p w14:paraId="6A0824B2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Elaborar un RCA con impacto, evidencia, corrección aplicada, acciones preventivas y controles de verificación.</w:t>
      </w:r>
    </w:p>
    <w:p w14:paraId="5574B04E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Convertir las conclusiones en un runbook operativo reutilizable por el NOC.</w:t>
      </w:r>
    </w:p>
    <w:p w14:paraId="789C92E6" w14:textId="77777777" w:rsidR="00297FA5" w:rsidRDefault="00000000">
      <w:r>
        <w:br w:type="page"/>
      </w:r>
    </w:p>
    <w:p w14:paraId="29BC7758" w14:textId="77777777" w:rsidR="00297FA5" w:rsidRDefault="00000000">
      <w:pPr>
        <w:pStyle w:val="ModuloDetalle"/>
        <w:keepNext/>
        <w:keepLines/>
      </w:pPr>
      <w:r>
        <w:lastRenderedPageBreak/>
        <w:t>Módulo 7. Casos prácticos y escenarios reales de ISP, operadores y entornos empresariales - 5 h</w:t>
      </w:r>
    </w:p>
    <w:p w14:paraId="3E3B3320" w14:textId="77777777" w:rsidR="00297FA5" w:rsidRDefault="00000000">
      <w:pPr>
        <w:pStyle w:val="CuerpoDNS"/>
        <w:spacing w:after="60"/>
      </w:pPr>
      <w:r>
        <w:rPr>
          <w:b/>
        </w:rPr>
        <w:t xml:space="preserve">Distribución: </w:t>
      </w:r>
      <w:r>
        <w:t>Teoría 1 h 45 min | Práctica 3 h 15 min</w:t>
      </w:r>
    </w:p>
    <w:p w14:paraId="00252965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Patrones operativos de alta disponibilidad y continuidad: primario/secundario, resiliencia del resolver, redundancia y validación posterior a cambios.</w:t>
      </w:r>
    </w:p>
    <w:p w14:paraId="2CB1C835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Escenarios empresariales: DNS interno/externo, split DNS, forwarders, dependencias con servicios corporativos y cambios de registros.</w:t>
      </w:r>
    </w:p>
    <w:p w14:paraId="3B5A5BCB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Escenarios ISP/operador: delegaciones, servidores autoritativos, caché recursiva, degradación parcial, picos de consultas y fallas entre dominios administrativos.</w:t>
      </w:r>
    </w:p>
    <w:p w14:paraId="14804800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Análisis de incidentes complejos con múltiples síntomas y más de una causa contribuyente.</w:t>
      </w:r>
    </w:p>
    <w:p w14:paraId="1856E5E5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Buenas prácticas de operación: ventanas de cambio, rollback, monitoreo posterior, escalamiento, comunicación y actualización de conocimiento del NOC.</w:t>
      </w:r>
    </w:p>
    <w:p w14:paraId="58BE3704" w14:textId="77777777" w:rsidR="00297FA5" w:rsidRDefault="00000000">
      <w:pPr>
        <w:pStyle w:val="SubtemaDNS"/>
        <w:keepNext/>
        <w:keepLines/>
      </w:pPr>
      <w:r>
        <w:t>Práctica de laboratorio: Capstone NOC/ISP: operación, recuperación y RCA (3 h 15 min)</w:t>
      </w:r>
    </w:p>
    <w:p w14:paraId="14517078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Escenario A - Enterprise: falla de resolución asociada a DNS interno/forwarding y cambio reciente; restauración y validación de dependencias.</w:t>
      </w:r>
    </w:p>
    <w:p w14:paraId="1354612C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Escenario B - ISP autoritativo: delegación inconsistente y secundario desactualizado; corrección, sincronización y verificación desde distintos puntos de consulta.</w:t>
      </w:r>
    </w:p>
    <w:p w14:paraId="27208397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Escenario C - Seguridad/observabilidad: SERVFAIL por DNSSEC combinado con incremento anómalo de consultas; uso de dashboard, logs y herramientas DNS para aislar causas.</w:t>
      </w:r>
    </w:p>
    <w:p w14:paraId="256510F2" w14:textId="77777777" w:rsidR="00297FA5" w:rsidRDefault="00000000">
      <w:pPr>
        <w:pStyle w:val="CuerpoDNS"/>
        <w:spacing w:after="24"/>
        <w:ind w:left="547" w:hanging="187"/>
      </w:pPr>
      <w:r>
        <w:rPr>
          <w:b/>
          <w:color w:val="00A6B2"/>
        </w:rPr>
        <w:t xml:space="preserve">• </w:t>
      </w:r>
      <w:r>
        <w:t>Entregar evidencia de diagnóstico, acciones ejecutadas, validación del servicio, RCA y plan preventivo para cada escenario.</w:t>
      </w:r>
    </w:p>
    <w:p w14:paraId="3147ECA1" w14:textId="77777777" w:rsidR="00297FA5" w:rsidRDefault="00000000">
      <w:pPr>
        <w:pStyle w:val="NotaDNS"/>
        <w:ind w:left="173"/>
      </w:pPr>
      <w:r>
        <w:t>Los escenarios se construyen a partir de patrones de falla habituales en operación DNS y se ejecutan íntegramente en laboratorio virtual.</w:t>
      </w:r>
    </w:p>
    <w:p w14:paraId="2F4DB8BA" w14:textId="77777777" w:rsidR="00297FA5" w:rsidRDefault="00000000">
      <w:r>
        <w:br w:type="page"/>
      </w:r>
    </w:p>
    <w:p w14:paraId="53B4820C" w14:textId="77777777" w:rsidR="00297FA5" w:rsidRDefault="00000000">
      <w:pPr>
        <w:pStyle w:val="TITULO2"/>
        <w:keepNext/>
        <w:keepLines/>
        <w:spacing w:before="160"/>
      </w:pPr>
      <w:r>
        <w:lastRenderedPageBreak/>
        <w:t>METODOLOGÍA</w:t>
      </w:r>
    </w:p>
    <w:p w14:paraId="4EEDF554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Enfoque 70% práctico basado en laboratorios progresivos, troubleshooting guiado, challenges de incidentes y un caso integrador final.</w:t>
      </w:r>
    </w:p>
    <w:p w14:paraId="19E971BB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La teoría se introduce en función de decisiones y problemas operativos que el participante debe resolver en la maqueta.</w:t>
      </w:r>
    </w:p>
    <w:p w14:paraId="2BBCE116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Las prácticas pueden ejecutarse individualmente o por parejas, usando snapshots para restaurar rápidamente estados conocidos y repetir incidentes.</w:t>
      </w:r>
    </w:p>
    <w:p w14:paraId="0813CDC8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Los escenarios de seguridad se mantienen aislados dentro de la red virtual del laboratorio y no requieren generar tráfico ofensivo hacia Internet.</w:t>
      </w:r>
    </w:p>
    <w:p w14:paraId="7ACA1B63" w14:textId="77777777" w:rsidR="00297FA5" w:rsidRDefault="00000000">
      <w:pPr>
        <w:pStyle w:val="TITULO2"/>
        <w:keepNext/>
        <w:keepLines/>
        <w:spacing w:before="160"/>
      </w:pPr>
      <w:r>
        <w:t>ENTORNO DE LABORATORIO</w:t>
      </w:r>
    </w:p>
    <w:p w14:paraId="3689ABD6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Equipo recomendado por participante o pareja: CPU de 4 núcleos, 16 GB de RAM y 40 GB de espacio libre.</w:t>
      </w:r>
    </w:p>
    <w:p w14:paraId="5A9208C8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Virtualización: VirtualBox, QEMU/KVM o plataforma equivalente; alternativamente Docker/Podman para los servicios que se adapten a contenedores.</w:t>
      </w:r>
    </w:p>
    <w:p w14:paraId="2F67CAE8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Sistema operativo: Linux Ubuntu Server LTS o Debian estable para servidores y cliente de pruebas.</w:t>
      </w:r>
    </w:p>
    <w:p w14:paraId="3BDFEF7D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Software: BIND 9, Unbound, dnsutils, Wireshark/tcpdump, Prometheus, Blackbox Exporter, Grafana y utilidades estándar de Linux.</w:t>
      </w:r>
    </w:p>
    <w:p w14:paraId="18F353A6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Topología sugerida: 4 a 5 máquinas virtuales ligeras o contenedores (cliente, resolver recursivo, DNS autoritativo primario, DNS autoritativo secundario y nodo de monitoreo).</w:t>
      </w:r>
    </w:p>
    <w:p w14:paraId="49DCB47C" w14:textId="77777777" w:rsidR="00297FA5" w:rsidRDefault="00000000">
      <w:pPr>
        <w:pStyle w:val="CuerpoDNS"/>
        <w:spacing w:after="24"/>
        <w:ind w:left="288" w:hanging="187"/>
      </w:pPr>
      <w:r>
        <w:rPr>
          <w:b/>
          <w:color w:val="00A6B2"/>
        </w:rPr>
        <w:t xml:space="preserve">• </w:t>
      </w:r>
      <w:r>
        <w:t>No se requiere hardware especializado, appliance comercial ni licencia de software de pago para realizar los laboratorios.</w:t>
      </w:r>
    </w:p>
    <w:p w14:paraId="3304E731" w14:textId="77777777" w:rsidR="00297FA5" w:rsidRDefault="00000000">
      <w:pPr>
        <w:pStyle w:val="NotaDNS"/>
        <w:jc w:val="both"/>
      </w:pPr>
      <w:r>
        <w:t>Debido a las constantes actualizaciones de las tecnologías y herramientas utilizadas, las versiones específicas empleadas en los laboratorios pueden variar. La impartición utilizará versiones estables equivalentes que mantengan los objetivos y actividades descritos en este temario.</w:t>
      </w:r>
    </w:p>
    <w:sectPr w:rsidR="00297FA5" w:rsidSect="000047CC">
      <w:pgSz w:w="12240" w:h="15840"/>
      <w:pgMar w:top="2664" w:right="1247" w:bottom="864" w:left="1247" w:header="697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7C4F" w14:textId="77777777" w:rsidR="0040600D" w:rsidRDefault="0040600D" w:rsidP="002D36DF">
      <w:pPr>
        <w:spacing w:after="0" w:line="240" w:lineRule="auto"/>
      </w:pPr>
      <w:r>
        <w:separator/>
      </w:r>
    </w:p>
  </w:endnote>
  <w:endnote w:type="continuationSeparator" w:id="0">
    <w:p w14:paraId="0415549A" w14:textId="77777777" w:rsidR="0040600D" w:rsidRDefault="0040600D" w:rsidP="002D3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B561" w14:textId="75556E6B" w:rsidR="00F11587" w:rsidRDefault="00F11587" w:rsidP="003028C5">
    <w:pPr>
      <w:pStyle w:val="Piedepgina"/>
      <w:tabs>
        <w:tab w:val="clear" w:pos="4419"/>
        <w:tab w:val="clear" w:pos="8838"/>
        <w:tab w:val="left" w:pos="2280"/>
        <w:tab w:val="left" w:pos="6602"/>
      </w:tabs>
    </w:pPr>
    <w:r>
      <w:tab/>
    </w:r>
    <w:r w:rsidR="003028C5">
      <w:tab/>
    </w:r>
  </w:p>
  <w:p w14:paraId="25F409DB" w14:textId="77777777" w:rsidR="00F11587" w:rsidRDefault="00F11587" w:rsidP="00F11587">
    <w:pPr>
      <w:pStyle w:val="Piedepgina"/>
      <w:tabs>
        <w:tab w:val="clear" w:pos="4419"/>
        <w:tab w:val="clear" w:pos="8838"/>
        <w:tab w:val="left" w:pos="2280"/>
      </w:tabs>
    </w:pPr>
  </w:p>
  <w:p w14:paraId="1E2AD234" w14:textId="77777777" w:rsidR="00F11587" w:rsidRDefault="00F11587" w:rsidP="00F11587">
    <w:pPr>
      <w:pStyle w:val="Piedepgina"/>
      <w:tabs>
        <w:tab w:val="clear" w:pos="4419"/>
        <w:tab w:val="clear" w:pos="8838"/>
        <w:tab w:val="left" w:pos="2280"/>
      </w:tabs>
    </w:pPr>
  </w:p>
  <w:p w14:paraId="6BCEDED8" w14:textId="77777777" w:rsidR="00F11587" w:rsidRDefault="00F11587" w:rsidP="00F11587">
    <w:pPr>
      <w:pStyle w:val="Piedepgina"/>
      <w:tabs>
        <w:tab w:val="clear" w:pos="4419"/>
        <w:tab w:val="clear" w:pos="8838"/>
        <w:tab w:val="left" w:pos="22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58EA" w14:textId="77777777" w:rsidR="0040600D" w:rsidRDefault="0040600D" w:rsidP="002D36DF">
      <w:pPr>
        <w:spacing w:after="0" w:line="240" w:lineRule="auto"/>
      </w:pPr>
      <w:r>
        <w:separator/>
      </w:r>
    </w:p>
  </w:footnote>
  <w:footnote w:type="continuationSeparator" w:id="0">
    <w:p w14:paraId="1EAB92A6" w14:textId="77777777" w:rsidR="0040600D" w:rsidRDefault="0040600D" w:rsidP="002D3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A5ED" w14:textId="22330CBE" w:rsidR="009E6AEE" w:rsidRDefault="000E61EA" w:rsidP="00C346DD">
    <w:pPr>
      <w:pStyle w:val="Encabezado"/>
      <w:tabs>
        <w:tab w:val="clear" w:pos="4419"/>
        <w:tab w:val="clear" w:pos="8838"/>
        <w:tab w:val="left" w:pos="2220"/>
        <w:tab w:val="left" w:pos="686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B7C8E45" wp14:editId="354B1CC5">
          <wp:simplePos x="0" y="0"/>
          <wp:positionH relativeFrom="page">
            <wp:align>right</wp:align>
          </wp:positionH>
          <wp:positionV relativeFrom="paragraph">
            <wp:posOffset>-435771</wp:posOffset>
          </wp:positionV>
          <wp:extent cx="7764870" cy="10048655"/>
          <wp:effectExtent l="0" t="0" r="762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870" cy="1004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6AEE">
      <w:tab/>
    </w:r>
    <w:r w:rsidR="00C346DD">
      <w:tab/>
    </w:r>
  </w:p>
  <w:p w14:paraId="14B257C8" w14:textId="77777777" w:rsidR="00E00144" w:rsidRDefault="00E00144" w:rsidP="00C346DD">
    <w:pPr>
      <w:pStyle w:val="Encabezado"/>
      <w:tabs>
        <w:tab w:val="clear" w:pos="4419"/>
        <w:tab w:val="clear" w:pos="8838"/>
        <w:tab w:val="left" w:pos="2220"/>
        <w:tab w:val="left" w:pos="6860"/>
      </w:tabs>
    </w:pPr>
  </w:p>
  <w:p w14:paraId="18DE4F9A" w14:textId="77777777" w:rsidR="00A86FAE" w:rsidRDefault="00A86FAE" w:rsidP="00A86FAE">
    <w:pPr>
      <w:pStyle w:val="Encabezado"/>
      <w:tabs>
        <w:tab w:val="clear" w:pos="4419"/>
        <w:tab w:val="clear" w:pos="8838"/>
        <w:tab w:val="left" w:pos="1500"/>
      </w:tabs>
    </w:pPr>
  </w:p>
  <w:p w14:paraId="23A08669" w14:textId="77777777" w:rsidR="00E00144" w:rsidRDefault="00A86FAE" w:rsidP="00A86FAE">
    <w:pPr>
      <w:pStyle w:val="Encabezado"/>
      <w:tabs>
        <w:tab w:val="clear" w:pos="4419"/>
        <w:tab w:val="clear" w:pos="8838"/>
        <w:tab w:val="left" w:pos="1500"/>
      </w:tabs>
    </w:pPr>
    <w:r>
      <w:tab/>
    </w:r>
  </w:p>
  <w:p w14:paraId="27CC962E" w14:textId="06D11DF3" w:rsidR="00F11587" w:rsidRDefault="00F11587" w:rsidP="003028C5">
    <w:pPr>
      <w:pStyle w:val="Encabezado"/>
      <w:tabs>
        <w:tab w:val="clear" w:pos="4419"/>
        <w:tab w:val="clear" w:pos="8838"/>
        <w:tab w:val="left" w:pos="4048"/>
      </w:tabs>
    </w:pPr>
  </w:p>
  <w:p w14:paraId="6EAA2026" w14:textId="77777777" w:rsidR="00F11587" w:rsidRPr="0032193A" w:rsidRDefault="0032193A" w:rsidP="0032193A">
    <w:pPr>
      <w:pStyle w:val="Encabezado"/>
      <w:tabs>
        <w:tab w:val="clear" w:pos="4419"/>
        <w:tab w:val="clear" w:pos="8838"/>
        <w:tab w:val="left" w:pos="1500"/>
      </w:tabs>
      <w:rPr>
        <w:sz w:val="8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1.35pt;height:241.8pt" o:bullet="t">
        <v:imagedata r:id="rId1" o:title="viñeta"/>
      </v:shape>
    </w:pict>
  </w:numPicBullet>
  <w:abstractNum w:abstractNumId="0" w15:restartNumberingAfterBreak="0">
    <w:nsid w:val="02DF6199"/>
    <w:multiLevelType w:val="hybridMultilevel"/>
    <w:tmpl w:val="0400D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F1763"/>
    <w:multiLevelType w:val="hybridMultilevel"/>
    <w:tmpl w:val="D95408E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094CA2"/>
    <w:multiLevelType w:val="hybridMultilevel"/>
    <w:tmpl w:val="36585A9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617E1"/>
    <w:multiLevelType w:val="hybridMultilevel"/>
    <w:tmpl w:val="FCF27ECE"/>
    <w:lvl w:ilvl="0" w:tplc="BF66383C">
      <w:numFmt w:val="bullet"/>
      <w:lvlText w:val="•"/>
      <w:lvlJc w:val="left"/>
      <w:pPr>
        <w:ind w:left="36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E17B17"/>
    <w:multiLevelType w:val="hybridMultilevel"/>
    <w:tmpl w:val="4816D13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5C5B71"/>
    <w:multiLevelType w:val="hybridMultilevel"/>
    <w:tmpl w:val="9702B1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10C8C"/>
    <w:multiLevelType w:val="hybridMultilevel"/>
    <w:tmpl w:val="0EFE8F44"/>
    <w:lvl w:ilvl="0" w:tplc="53205A48">
      <w:numFmt w:val="bullet"/>
      <w:lvlText w:val="•"/>
      <w:lvlJc w:val="left"/>
      <w:pPr>
        <w:ind w:left="1065" w:hanging="705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F0E5D"/>
    <w:multiLevelType w:val="hybridMultilevel"/>
    <w:tmpl w:val="852EB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3143A"/>
    <w:multiLevelType w:val="hybridMultilevel"/>
    <w:tmpl w:val="2F3C76FC"/>
    <w:lvl w:ilvl="0" w:tplc="53205A48">
      <w:numFmt w:val="bullet"/>
      <w:lvlText w:val="•"/>
      <w:lvlJc w:val="left"/>
      <w:pPr>
        <w:ind w:left="1065" w:hanging="705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86EBF"/>
    <w:multiLevelType w:val="hybridMultilevel"/>
    <w:tmpl w:val="ABB031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F335E"/>
    <w:multiLevelType w:val="hybridMultilevel"/>
    <w:tmpl w:val="641AB04E"/>
    <w:lvl w:ilvl="0" w:tplc="0A8AB2B6">
      <w:numFmt w:val="bullet"/>
      <w:lvlText w:val="•"/>
      <w:lvlJc w:val="left"/>
      <w:pPr>
        <w:ind w:left="36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424EAD"/>
    <w:multiLevelType w:val="hybridMultilevel"/>
    <w:tmpl w:val="18F6FBEE"/>
    <w:lvl w:ilvl="0" w:tplc="BF66383C">
      <w:numFmt w:val="bullet"/>
      <w:lvlText w:val="•"/>
      <w:lvlJc w:val="left"/>
      <w:pPr>
        <w:ind w:left="36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226EA7"/>
    <w:multiLevelType w:val="hybridMultilevel"/>
    <w:tmpl w:val="929CE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9C28EF"/>
    <w:multiLevelType w:val="hybridMultilevel"/>
    <w:tmpl w:val="07581E68"/>
    <w:lvl w:ilvl="0" w:tplc="BF66383C">
      <w:numFmt w:val="bullet"/>
      <w:lvlText w:val="•"/>
      <w:lvlJc w:val="left"/>
      <w:pPr>
        <w:ind w:left="36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B70E1F"/>
    <w:multiLevelType w:val="hybridMultilevel"/>
    <w:tmpl w:val="C8342032"/>
    <w:lvl w:ilvl="0" w:tplc="9F5050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8E1411"/>
    <w:multiLevelType w:val="hybridMultilevel"/>
    <w:tmpl w:val="18B6490E"/>
    <w:lvl w:ilvl="0" w:tplc="BF66383C">
      <w:numFmt w:val="bullet"/>
      <w:lvlText w:val="•"/>
      <w:lvlJc w:val="left"/>
      <w:pPr>
        <w:ind w:left="36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204E8"/>
    <w:multiLevelType w:val="hybridMultilevel"/>
    <w:tmpl w:val="AEA443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36F7E"/>
    <w:multiLevelType w:val="hybridMultilevel"/>
    <w:tmpl w:val="14C64C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6A7B72"/>
    <w:multiLevelType w:val="hybridMultilevel"/>
    <w:tmpl w:val="E262730A"/>
    <w:lvl w:ilvl="0" w:tplc="0DC0F2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6E7078"/>
    <w:multiLevelType w:val="hybridMultilevel"/>
    <w:tmpl w:val="B600B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EE16C6"/>
    <w:multiLevelType w:val="hybridMultilevel"/>
    <w:tmpl w:val="9B463430"/>
    <w:lvl w:ilvl="0" w:tplc="BF66383C">
      <w:numFmt w:val="bullet"/>
      <w:lvlText w:val="•"/>
      <w:lvlJc w:val="left"/>
      <w:pPr>
        <w:ind w:left="36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325B11"/>
    <w:multiLevelType w:val="hybridMultilevel"/>
    <w:tmpl w:val="6D32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FC4A46"/>
    <w:multiLevelType w:val="hybridMultilevel"/>
    <w:tmpl w:val="27F2C162"/>
    <w:lvl w:ilvl="0" w:tplc="BF66383C">
      <w:numFmt w:val="bullet"/>
      <w:lvlText w:val="•"/>
      <w:lvlJc w:val="left"/>
      <w:pPr>
        <w:ind w:left="36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185206"/>
    <w:multiLevelType w:val="hybridMultilevel"/>
    <w:tmpl w:val="EB62C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2D393C"/>
    <w:multiLevelType w:val="hybridMultilevel"/>
    <w:tmpl w:val="D988AE7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0C34CB6"/>
    <w:multiLevelType w:val="hybridMultilevel"/>
    <w:tmpl w:val="693EFEFE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4ADA43C0"/>
    <w:multiLevelType w:val="hybridMultilevel"/>
    <w:tmpl w:val="EB2232D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884138"/>
    <w:multiLevelType w:val="hybridMultilevel"/>
    <w:tmpl w:val="755E1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7609E"/>
    <w:multiLevelType w:val="hybridMultilevel"/>
    <w:tmpl w:val="D444BB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4037F6"/>
    <w:multiLevelType w:val="hybridMultilevel"/>
    <w:tmpl w:val="19AE71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DD0925"/>
    <w:multiLevelType w:val="hybridMultilevel"/>
    <w:tmpl w:val="1E16A6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B76D0A"/>
    <w:multiLevelType w:val="hybridMultilevel"/>
    <w:tmpl w:val="E370E978"/>
    <w:lvl w:ilvl="0" w:tplc="BF66383C">
      <w:numFmt w:val="bullet"/>
      <w:lvlText w:val="•"/>
      <w:lvlJc w:val="left"/>
      <w:pPr>
        <w:ind w:left="36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2725E4"/>
    <w:multiLevelType w:val="hybridMultilevel"/>
    <w:tmpl w:val="B4CEC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7D4B8A"/>
    <w:multiLevelType w:val="hybridMultilevel"/>
    <w:tmpl w:val="4A02B58E"/>
    <w:lvl w:ilvl="0" w:tplc="08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D73C93"/>
    <w:multiLevelType w:val="hybridMultilevel"/>
    <w:tmpl w:val="189210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FF3190"/>
    <w:multiLevelType w:val="hybridMultilevel"/>
    <w:tmpl w:val="E91EE908"/>
    <w:lvl w:ilvl="0" w:tplc="08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4CE7CBC"/>
    <w:multiLevelType w:val="hybridMultilevel"/>
    <w:tmpl w:val="202EC5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F2237A"/>
    <w:multiLevelType w:val="hybridMultilevel"/>
    <w:tmpl w:val="FC60A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9094B"/>
    <w:multiLevelType w:val="hybridMultilevel"/>
    <w:tmpl w:val="72A82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3E73F6A"/>
    <w:multiLevelType w:val="hybridMultilevel"/>
    <w:tmpl w:val="2BB652CE"/>
    <w:lvl w:ilvl="0" w:tplc="0A8AB2B6">
      <w:numFmt w:val="bullet"/>
      <w:lvlText w:val="•"/>
      <w:lvlJc w:val="left"/>
      <w:pPr>
        <w:ind w:left="72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DB4058"/>
    <w:multiLevelType w:val="hybridMultilevel"/>
    <w:tmpl w:val="A6AE0056"/>
    <w:lvl w:ilvl="0" w:tplc="BF66383C">
      <w:numFmt w:val="bullet"/>
      <w:lvlText w:val="•"/>
      <w:lvlJc w:val="left"/>
      <w:pPr>
        <w:ind w:left="360" w:hanging="360"/>
      </w:pPr>
      <w:rPr>
        <w:rFonts w:ascii="Arial Rounded MT" w:eastAsiaTheme="minorHAnsi" w:hAnsi="Arial Rounded MT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CD7514"/>
    <w:multiLevelType w:val="hybridMultilevel"/>
    <w:tmpl w:val="B518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98133">
    <w:abstractNumId w:val="12"/>
  </w:num>
  <w:num w:numId="2" w16cid:durableId="1833375750">
    <w:abstractNumId w:val="41"/>
  </w:num>
  <w:num w:numId="3" w16cid:durableId="895823620">
    <w:abstractNumId w:val="23"/>
  </w:num>
  <w:num w:numId="4" w16cid:durableId="1939211919">
    <w:abstractNumId w:val="32"/>
  </w:num>
  <w:num w:numId="5" w16cid:durableId="97874132">
    <w:abstractNumId w:val="21"/>
  </w:num>
  <w:num w:numId="6" w16cid:durableId="240334316">
    <w:abstractNumId w:val="19"/>
  </w:num>
  <w:num w:numId="7" w16cid:durableId="1892186797">
    <w:abstractNumId w:val="37"/>
  </w:num>
  <w:num w:numId="8" w16cid:durableId="2087259688">
    <w:abstractNumId w:val="27"/>
  </w:num>
  <w:num w:numId="9" w16cid:durableId="1714765729">
    <w:abstractNumId w:val="0"/>
  </w:num>
  <w:num w:numId="10" w16cid:durableId="579829020">
    <w:abstractNumId w:val="7"/>
  </w:num>
  <w:num w:numId="11" w16cid:durableId="1805923993">
    <w:abstractNumId w:val="35"/>
  </w:num>
  <w:num w:numId="12" w16cid:durableId="510871198">
    <w:abstractNumId w:val="16"/>
  </w:num>
  <w:num w:numId="13" w16cid:durableId="493885487">
    <w:abstractNumId w:val="18"/>
  </w:num>
  <w:num w:numId="14" w16cid:durableId="1740787695">
    <w:abstractNumId w:val="5"/>
  </w:num>
  <w:num w:numId="15" w16cid:durableId="400373866">
    <w:abstractNumId w:val="34"/>
  </w:num>
  <w:num w:numId="16" w16cid:durableId="880215199">
    <w:abstractNumId w:val="36"/>
  </w:num>
  <w:num w:numId="17" w16cid:durableId="576282463">
    <w:abstractNumId w:val="25"/>
  </w:num>
  <w:num w:numId="18" w16cid:durableId="1044911135">
    <w:abstractNumId w:val="2"/>
  </w:num>
  <w:num w:numId="19" w16cid:durableId="720860611">
    <w:abstractNumId w:val="4"/>
  </w:num>
  <w:num w:numId="20" w16cid:durableId="1046026744">
    <w:abstractNumId w:val="28"/>
  </w:num>
  <w:num w:numId="21" w16cid:durableId="204148105">
    <w:abstractNumId w:val="38"/>
  </w:num>
  <w:num w:numId="22" w16cid:durableId="715273413">
    <w:abstractNumId w:val="17"/>
  </w:num>
  <w:num w:numId="23" w16cid:durableId="993877262">
    <w:abstractNumId w:val="6"/>
  </w:num>
  <w:num w:numId="24" w16cid:durableId="1565411158">
    <w:abstractNumId w:val="8"/>
  </w:num>
  <w:num w:numId="25" w16cid:durableId="1260942909">
    <w:abstractNumId w:val="33"/>
  </w:num>
  <w:num w:numId="26" w16cid:durableId="1930960325">
    <w:abstractNumId w:val="1"/>
  </w:num>
  <w:num w:numId="27" w16cid:durableId="1950159408">
    <w:abstractNumId w:val="9"/>
  </w:num>
  <w:num w:numId="28" w16cid:durableId="700743471">
    <w:abstractNumId w:val="30"/>
  </w:num>
  <w:num w:numId="29" w16cid:durableId="1664163965">
    <w:abstractNumId w:val="10"/>
  </w:num>
  <w:num w:numId="30" w16cid:durableId="1848666673">
    <w:abstractNumId w:val="39"/>
  </w:num>
  <w:num w:numId="31" w16cid:durableId="1558853134">
    <w:abstractNumId w:val="40"/>
  </w:num>
  <w:num w:numId="32" w16cid:durableId="1258634534">
    <w:abstractNumId w:val="15"/>
  </w:num>
  <w:num w:numId="33" w16cid:durableId="1814251728">
    <w:abstractNumId w:val="3"/>
  </w:num>
  <w:num w:numId="34" w16cid:durableId="1726176272">
    <w:abstractNumId w:val="13"/>
  </w:num>
  <w:num w:numId="35" w16cid:durableId="1504931363">
    <w:abstractNumId w:val="22"/>
  </w:num>
  <w:num w:numId="36" w16cid:durableId="1640571857">
    <w:abstractNumId w:val="31"/>
  </w:num>
  <w:num w:numId="37" w16cid:durableId="1399789433">
    <w:abstractNumId w:val="11"/>
  </w:num>
  <w:num w:numId="38" w16cid:durableId="807552270">
    <w:abstractNumId w:val="20"/>
  </w:num>
  <w:num w:numId="39" w16cid:durableId="1762792363">
    <w:abstractNumId w:val="24"/>
  </w:num>
  <w:num w:numId="40" w16cid:durableId="659431030">
    <w:abstractNumId w:val="29"/>
  </w:num>
  <w:num w:numId="41" w16cid:durableId="566841403">
    <w:abstractNumId w:val="26"/>
  </w:num>
  <w:num w:numId="42" w16cid:durableId="12222517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66B"/>
    <w:rsid w:val="000047CC"/>
    <w:rsid w:val="00040791"/>
    <w:rsid w:val="00065212"/>
    <w:rsid w:val="000D210B"/>
    <w:rsid w:val="000E61EA"/>
    <w:rsid w:val="000F5CCE"/>
    <w:rsid w:val="00105ACC"/>
    <w:rsid w:val="0015425B"/>
    <w:rsid w:val="0016618A"/>
    <w:rsid w:val="001801FB"/>
    <w:rsid w:val="001C397F"/>
    <w:rsid w:val="001D5A7B"/>
    <w:rsid w:val="001E65BF"/>
    <w:rsid w:val="0020038E"/>
    <w:rsid w:val="00237FBC"/>
    <w:rsid w:val="00257735"/>
    <w:rsid w:val="00271F25"/>
    <w:rsid w:val="00297FA5"/>
    <w:rsid w:val="002B22B2"/>
    <w:rsid w:val="002D36DF"/>
    <w:rsid w:val="003028C5"/>
    <w:rsid w:val="0032193A"/>
    <w:rsid w:val="003339CD"/>
    <w:rsid w:val="00383337"/>
    <w:rsid w:val="003B2ECB"/>
    <w:rsid w:val="0040600D"/>
    <w:rsid w:val="004222EB"/>
    <w:rsid w:val="00425FB7"/>
    <w:rsid w:val="0046649C"/>
    <w:rsid w:val="004C546B"/>
    <w:rsid w:val="004D51C9"/>
    <w:rsid w:val="004F0929"/>
    <w:rsid w:val="005012E5"/>
    <w:rsid w:val="00516560"/>
    <w:rsid w:val="00596AB2"/>
    <w:rsid w:val="005D4697"/>
    <w:rsid w:val="00624D32"/>
    <w:rsid w:val="00633A5C"/>
    <w:rsid w:val="00676E40"/>
    <w:rsid w:val="006A32FD"/>
    <w:rsid w:val="006A7E07"/>
    <w:rsid w:val="006B0966"/>
    <w:rsid w:val="006B649C"/>
    <w:rsid w:val="006E130D"/>
    <w:rsid w:val="006F6E9E"/>
    <w:rsid w:val="0074002F"/>
    <w:rsid w:val="00740E0D"/>
    <w:rsid w:val="007868E4"/>
    <w:rsid w:val="007C05A8"/>
    <w:rsid w:val="007C3D5A"/>
    <w:rsid w:val="007E7E6F"/>
    <w:rsid w:val="00854AFE"/>
    <w:rsid w:val="00857BE1"/>
    <w:rsid w:val="008609BF"/>
    <w:rsid w:val="008741F9"/>
    <w:rsid w:val="0087652E"/>
    <w:rsid w:val="008827CF"/>
    <w:rsid w:val="00883757"/>
    <w:rsid w:val="008A2403"/>
    <w:rsid w:val="008A5994"/>
    <w:rsid w:val="008D154B"/>
    <w:rsid w:val="008E3E45"/>
    <w:rsid w:val="00944E40"/>
    <w:rsid w:val="00971673"/>
    <w:rsid w:val="009E6AEE"/>
    <w:rsid w:val="009F0AB5"/>
    <w:rsid w:val="00A7556A"/>
    <w:rsid w:val="00A86FAE"/>
    <w:rsid w:val="00AC322B"/>
    <w:rsid w:val="00AD5D65"/>
    <w:rsid w:val="00AD604D"/>
    <w:rsid w:val="00AF3995"/>
    <w:rsid w:val="00B31AC2"/>
    <w:rsid w:val="00B4066B"/>
    <w:rsid w:val="00B45E14"/>
    <w:rsid w:val="00B47A84"/>
    <w:rsid w:val="00B51C3B"/>
    <w:rsid w:val="00B63839"/>
    <w:rsid w:val="00B94667"/>
    <w:rsid w:val="00BC2F1E"/>
    <w:rsid w:val="00BF7F71"/>
    <w:rsid w:val="00C346DD"/>
    <w:rsid w:val="00C6036F"/>
    <w:rsid w:val="00C6360A"/>
    <w:rsid w:val="00C66B9E"/>
    <w:rsid w:val="00C70BAD"/>
    <w:rsid w:val="00C72D94"/>
    <w:rsid w:val="00CA6E8D"/>
    <w:rsid w:val="00CC5AA7"/>
    <w:rsid w:val="00CD3F21"/>
    <w:rsid w:val="00D267D5"/>
    <w:rsid w:val="00D621AA"/>
    <w:rsid w:val="00DB78A2"/>
    <w:rsid w:val="00DF1BC8"/>
    <w:rsid w:val="00DF436A"/>
    <w:rsid w:val="00E00144"/>
    <w:rsid w:val="00E35533"/>
    <w:rsid w:val="00E6169E"/>
    <w:rsid w:val="00E72E59"/>
    <w:rsid w:val="00E77509"/>
    <w:rsid w:val="00EA3E27"/>
    <w:rsid w:val="00EC2B90"/>
    <w:rsid w:val="00EC5619"/>
    <w:rsid w:val="00ED3436"/>
    <w:rsid w:val="00EE0788"/>
    <w:rsid w:val="00F02F6F"/>
    <w:rsid w:val="00F11587"/>
    <w:rsid w:val="00FF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67A61"/>
  <w15:chartTrackingRefBased/>
  <w15:docId w15:val="{64603444-AA3D-4001-9B9D-A44BF67E4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36F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60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09BF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D36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36DF"/>
  </w:style>
  <w:style w:type="paragraph" w:styleId="Piedepgina">
    <w:name w:val="footer"/>
    <w:basedOn w:val="Normal"/>
    <w:link w:val="PiedepginaCar"/>
    <w:uiPriority w:val="99"/>
    <w:unhideWhenUsed/>
    <w:rsid w:val="002D36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36DF"/>
  </w:style>
  <w:style w:type="paragraph" w:customStyle="1" w:styleId="Prrafobsico">
    <w:name w:val="[Párrafo básico]"/>
    <w:basedOn w:val="Normal"/>
    <w:uiPriority w:val="99"/>
    <w:rsid w:val="00425FB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A86FAE"/>
    <w:pPr>
      <w:ind w:left="720"/>
      <w:contextualSpacing/>
    </w:pPr>
  </w:style>
  <w:style w:type="table" w:styleId="Tablaconcuadrcula">
    <w:name w:val="Table Grid"/>
    <w:basedOn w:val="Tablanormal"/>
    <w:uiPriority w:val="39"/>
    <w:rsid w:val="00F11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">
    <w:name w:val="TITULO"/>
    <w:basedOn w:val="Normal"/>
    <w:qFormat/>
    <w:rsid w:val="008A2403"/>
    <w:pPr>
      <w:jc w:val="right"/>
    </w:pPr>
    <w:rPr>
      <w:rFonts w:ascii="Montserrat" w:hAnsi="Montserrat"/>
      <w:b/>
      <w:color w:val="02419F"/>
      <w:sz w:val="32"/>
    </w:rPr>
  </w:style>
  <w:style w:type="paragraph" w:customStyle="1" w:styleId="TextoGeneraltabla">
    <w:name w:val="Texto General tabla"/>
    <w:basedOn w:val="Normal"/>
    <w:link w:val="TextoGeneraltablaCar"/>
    <w:qFormat/>
    <w:rsid w:val="008A2403"/>
    <w:pPr>
      <w:spacing w:before="120" w:after="120"/>
    </w:pPr>
    <w:rPr>
      <w:rFonts w:ascii="Montserrat" w:hAnsi="Montserrat"/>
      <w:sz w:val="20"/>
    </w:rPr>
  </w:style>
  <w:style w:type="paragraph" w:customStyle="1" w:styleId="SubtitulosTabla">
    <w:name w:val="Subtitulos Tabla"/>
    <w:basedOn w:val="Normal"/>
    <w:link w:val="SubtitulosTablaCar"/>
    <w:qFormat/>
    <w:rsid w:val="008A2403"/>
    <w:pPr>
      <w:spacing w:before="120" w:after="120"/>
    </w:pPr>
    <w:rPr>
      <w:rFonts w:ascii="Montserrat" w:hAnsi="Montserrat"/>
      <w:b/>
      <w:color w:val="02419F"/>
      <w:sz w:val="21"/>
    </w:rPr>
  </w:style>
  <w:style w:type="character" w:customStyle="1" w:styleId="TextoGeneraltablaCar">
    <w:name w:val="Texto General tabla Car"/>
    <w:basedOn w:val="Fuentedeprrafopredeter"/>
    <w:link w:val="TextoGeneraltabla"/>
    <w:rsid w:val="008A2403"/>
    <w:rPr>
      <w:rFonts w:ascii="Montserrat" w:hAnsi="Montserrat"/>
      <w:sz w:val="20"/>
    </w:rPr>
  </w:style>
  <w:style w:type="paragraph" w:customStyle="1" w:styleId="TITULO2">
    <w:name w:val="TITULO 2"/>
    <w:basedOn w:val="Normal"/>
    <w:link w:val="TITULO2Car"/>
    <w:qFormat/>
    <w:rsid w:val="008A2403"/>
    <w:rPr>
      <w:rFonts w:ascii="Montserrat" w:hAnsi="Montserrat"/>
      <w:b/>
      <w:color w:val="02419F"/>
      <w:sz w:val="28"/>
    </w:rPr>
  </w:style>
  <w:style w:type="character" w:customStyle="1" w:styleId="SubtitulosTablaCar">
    <w:name w:val="Subtitulos Tabla Car"/>
    <w:basedOn w:val="Fuentedeprrafopredeter"/>
    <w:link w:val="SubtitulosTabla"/>
    <w:rsid w:val="008A2403"/>
    <w:rPr>
      <w:rFonts w:ascii="Montserrat" w:hAnsi="Montserrat"/>
      <w:b/>
      <w:color w:val="02419F"/>
      <w:sz w:val="21"/>
    </w:rPr>
  </w:style>
  <w:style w:type="character" w:customStyle="1" w:styleId="TITULO2Car">
    <w:name w:val="TITULO 2 Car"/>
    <w:basedOn w:val="Fuentedeprrafopredeter"/>
    <w:link w:val="TITULO2"/>
    <w:rsid w:val="008A2403"/>
    <w:rPr>
      <w:rFonts w:ascii="Montserrat" w:hAnsi="Montserrat"/>
      <w:b/>
      <w:color w:val="02419F"/>
      <w:sz w:val="28"/>
    </w:rPr>
  </w:style>
  <w:style w:type="paragraph" w:customStyle="1" w:styleId="ModuloDetalle">
    <w:name w:val="Modulo Detalle"/>
    <w:basedOn w:val="SubtitulosTabla"/>
    <w:pPr>
      <w:spacing w:before="160" w:after="60"/>
    </w:pPr>
    <w:rPr>
      <w:sz w:val="22"/>
    </w:rPr>
  </w:style>
  <w:style w:type="paragraph" w:customStyle="1" w:styleId="SubtemaDNS">
    <w:name w:val="Subtema DNS"/>
    <w:basedOn w:val="TextoGeneraltabla"/>
    <w:pPr>
      <w:spacing w:before="80" w:after="20"/>
    </w:pPr>
    <w:rPr>
      <w:b/>
      <w:color w:val="1F1F1F"/>
      <w:sz w:val="19"/>
    </w:rPr>
  </w:style>
  <w:style w:type="paragraph" w:customStyle="1" w:styleId="CuerpoDNS">
    <w:name w:val="Cuerpo DNS"/>
    <w:basedOn w:val="TextoGeneraltabla"/>
    <w:pPr>
      <w:spacing w:before="20" w:after="40" w:line="247" w:lineRule="auto"/>
    </w:pPr>
    <w:rPr>
      <w:color w:val="1F1F1F"/>
      <w:sz w:val="19"/>
    </w:rPr>
  </w:style>
  <w:style w:type="paragraph" w:customStyle="1" w:styleId="NotaDNS">
    <w:name w:val="Nota DNS"/>
    <w:basedOn w:val="TextoGeneraltabla"/>
    <w:pPr>
      <w:spacing w:before="60" w:after="60"/>
    </w:pPr>
    <w:rPr>
      <w:i/>
      <w:color w:val="4B4B4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36CAC2C0C10C44B030CFEB3AA1139F" ma:contentTypeVersion="4" ma:contentTypeDescription="Crear nuevo documento." ma:contentTypeScope="" ma:versionID="5b2ecd4f3df1d559ac652d0e808a8862">
  <xsd:schema xmlns:xsd="http://www.w3.org/2001/XMLSchema" xmlns:xs="http://www.w3.org/2001/XMLSchema" xmlns:p="http://schemas.microsoft.com/office/2006/metadata/properties" xmlns:ns2="5bdae81a-cdd1-423a-9561-eeb0c5424753" targetNamespace="http://schemas.microsoft.com/office/2006/metadata/properties" ma:root="true" ma:fieldsID="3416553175f9fbea0a45efcb2e1a4e80" ns2:_="">
    <xsd:import namespace="5bdae81a-cdd1-423a-9561-eeb0c5424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dae81a-cdd1-423a-9561-eeb0c5424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39430-DB50-4F19-80F3-F2269C3FCF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74346F-CFD9-49D5-99F8-A2736CAA5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dae81a-cdd1-423a-9561-eeb0c5424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D5954F-09FE-4555-B503-8EE1809B21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6E1731-0B1C-450B-B119-8D18662291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2028</Words>
  <Characters>11160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DNS para Operaciones NOC, ISP y Entornos Empresariales - 28h</dc:title>
  <dc:subject>Temario 28 horas - 70% práctico</dc:subject>
  <dc:creator>Ana Claudia Oviedo</dc:creator>
  <cp:keywords>DNS, NOC, ISP, BIND, Unbound, troubleshooting, monitoring, DNSSEC, RCA</cp:keywords>
  <dc:description/>
  <cp:lastModifiedBy>Sara Cuy</cp:lastModifiedBy>
  <cp:revision>8</cp:revision>
  <cp:lastPrinted>2019-03-26T17:25:00Z</cp:lastPrinted>
  <dcterms:created xsi:type="dcterms:W3CDTF">2024-05-27T15:56:00Z</dcterms:created>
  <dcterms:modified xsi:type="dcterms:W3CDTF">2026-09-28T16:48:00Z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0x010100AE36CAC2C0C10C44B030CFEB3AA1139F</vt:lpwstr>
  </property>
  <property fmtid="{D5CDD505-2E9C-101B-9397-08002B2CF9AE}" pid="3" name="MSIP_Label_5961e708-1402-4612-a13a-d4cd7db65271_Enabled">
    <vt:lpwstr>true</vt:lpwstr>
  </property>
  <property fmtid="{D5CDD505-2E9C-101B-9397-08002B2CF9AE}" pid="4" name="MSIP_Label_5961e708-1402-4612-a13a-d4cd7db65271_SetDate">
    <vt:lpwstr>2024-05-30T15:39:04Z</vt:lpwstr>
  </property>
  <property fmtid="{D5CDD505-2E9C-101B-9397-08002B2CF9AE}" pid="5" name="MSIP_Label_5961e708-1402-4612-a13a-d4cd7db65271_Method">
    <vt:lpwstr>Privileged</vt:lpwstr>
  </property>
  <property fmtid="{D5CDD505-2E9C-101B-9397-08002B2CF9AE}" pid="6" name="MSIP_Label_5961e708-1402-4612-a13a-d4cd7db65271_Name">
    <vt:lpwstr>Público</vt:lpwstr>
  </property>
  <property fmtid="{D5CDD505-2E9C-101B-9397-08002B2CF9AE}" pid="7" name="MSIP_Label_5961e708-1402-4612-a13a-d4cd7db65271_SiteId">
    <vt:lpwstr>c0d4f0b3-9edd-4cee-b7f9-caf9a448f665</vt:lpwstr>
  </property>
  <property fmtid="{D5CDD505-2E9C-101B-9397-08002B2CF9AE}" pid="8" name="MSIP_Label_5961e708-1402-4612-a13a-d4cd7db65271_ActionId">
    <vt:lpwstr>5dc5c7cb-c7a1-46a1-90a9-e325e5ffb82e</vt:lpwstr>
  </property>
  <property fmtid="{D5CDD505-2E9C-101B-9397-08002B2CF9AE}" pid="9" name="MSIP_Label_5961e708-1402-4612-a13a-d4cd7db65271_ContentBits">
    <vt:lpwstr>0</vt:lpwstr>
  </property>
</Properties>
</file>