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1. ПОЛИТИКА ОБРАБОТКИ ПЕРСОНАЛЬНЫХ ДАННЫХ</w:t>
      </w:r>
    </w:p>
    <w:p>
      <w:pPr>
        <w:jc w:val="center"/>
      </w:pPr>
      <w:r>
        <w:rPr>
          <w:b w:val="0"/>
        </w:rPr>
        <w:t>для офлайн-игры Дмитрия Шкарова «Система»</w:t>
      </w:r>
    </w:p>
    <w:p>
      <w:pPr>
        <w:jc w:val="center"/>
      </w:pPr>
      <w:r>
        <w:rPr>
          <w:b w:val="0"/>
        </w:rPr>
        <w:t>Редакция от «___» __________ 2026 г.</w:t>
      </w:r>
    </w:p>
    <w:p>
      <w:pPr>
        <w:jc w:val="center"/>
      </w:pPr>
      <w:r>
        <w:rPr>
          <w:b w:val="0"/>
        </w:rPr>
        <w:t>Исполнитель: Индивидуальный предприниматель Шкарова Светлана Владимировна</w:t>
      </w:r>
    </w:p>
    <w:p>
      <w:pPr>
        <w:jc w:val="center"/>
      </w:pPr>
      <w:r>
        <w:rPr>
          <w:b w:val="0"/>
        </w:rPr>
        <w:t>ИНН: 590770995902</w:t>
      </w:r>
    </w:p>
    <w:p>
      <w:pPr>
        <w:jc w:val="center"/>
      </w:pPr>
      <w:r>
        <w:rPr>
          <w:b w:val="0"/>
        </w:rPr>
        <w:t>ОГРНИП: 323595800014381</w:t>
      </w:r>
    </w:p>
    <w:p>
      <w:pPr>
        <w:jc w:val="center"/>
      </w:pPr>
      <w:r>
        <w:rPr>
          <w:b w:val="0"/>
        </w:rPr>
        <w:t>Сайт / страница записи: https://sistema-game-light.vercel.app/</w:t>
      </w:r>
    </w:p>
    <w:p>
      <w:pPr>
        <w:jc w:val="center"/>
      </w:pPr>
      <w:r>
        <w:rPr>
          <w:b w:val="0"/>
        </w:rPr>
        <w:t>Email для юридических обращений и возвратов: schkarovd@yandex.ru</w:t>
      </w:r>
    </w:p>
    <w:p/>
    <w:p>
      <w:pPr>
        <w:pStyle w:val="Heading2"/>
      </w:pPr>
      <w:r>
        <w:t>1. Общие положения</w:t>
      </w:r>
    </w:p>
    <w:p>
      <w:r>
        <w:t>1.1. Настоящая Политика определяет порядок обработки персональных данных пользователей сайта, страниц записи, форм заявок, мессенджеров, CRM, платежных сервисов, анкет, списков участников и иных сервисов, используемых для организации офлайн-игры Дмитрия Шкарова «Система».</w:t>
      </w:r>
    </w:p>
    <w:p>
      <w:r>
        <w:t>1.2. Оператор обрабатывает персональные данные в соответствии с Федеральным законом от 27.07.2006 № 152-ФЗ «О персональных данных», Гражданским кодексом РФ, Законом РФ «О защите прав потребителей», Федеральным законом «О рекламе» и иными применимыми актами Российской Федерации.</w:t>
      </w:r>
    </w:p>
    <w:p>
      <w:r>
        <w:t>1.3. Политика размещается на сайте, странице записи или предоставляется пользователю до отправки заявки, оплаты, подтверждения участия, прохождения анкеты или передачи данных Оператору иным способом.</w:t>
      </w:r>
    </w:p>
    <w:p>
      <w:r>
        <w:t>1.4. Если пользователь не согласен с Политикой, он должен не оставлять заявку, не оплачивать участие, не передавать Оператору свои данные и не использовать сервисы записи на игру.</w:t>
      </w:r>
    </w:p>
    <w:p>
      <w:r>
        <w:t>1.5. Оператор не проверяет достоверность данных, которые пользователь указывает о себе, и исходит из того, что пользователь передает данные добровольно, честно и в актуальном виде.</w:t>
      </w:r>
    </w:p>
    <w:p>
      <w:r>
        <w:t>1.6. Оператор не ставит целью сбор специальных категорий персональных данных. Пользователю не следует передавать в заявках, анкетах, чатах и сообщениях сведения о диагнозах, лечении, медицинских документах, интимной жизни, политических взглядах, религиозных убеждениях и иных специальных категориях данных, если такие сведения прямо не запрошены отдельным документом и отдельным согласием.</w:t>
      </w:r>
    </w:p>
    <w:p>
      <w:pPr/>
      <w:r>
        <w:t>1.7. Базовая модель игры предполагает участие совершеннолетних лиц. Если Оператор допускает к участию несовершеннолетнего, обработка его персональных данных осуществляется только при наличии необходимых согласий законного представителя и с учетом дополнительных требований закона.</w:t>
      </w:r>
    </w:p>
    <w:p>
      <w:pPr>
        <w:pStyle w:val="Heading2"/>
      </w:pPr>
      <w:r>
        <w:t>2. Оператор персональных данных</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r/>
            <w:r>
              <w:rPr>
                <w:rFonts w:ascii="Arial" w:hAnsi="Arial" w:eastAsia="Arial"/>
                <w:b/>
                <w:sz w:val="19"/>
              </w:rPr>
              <w:t>Поле</w:t>
            </w:r>
          </w:p>
        </w:tc>
        <w:tc>
          <w:tcPr>
            <w:tcW w:type="dxa" w:w="5071"/>
            <w:vAlign w:val="center"/>
            <w:shd w:fill="D9EAF7"/>
          </w:tcPr>
          <w:p>
            <w:r/>
            <w:r>
              <w:rPr>
                <w:rFonts w:ascii="Arial" w:hAnsi="Arial" w:eastAsia="Arial"/>
                <w:b/>
                <w:sz w:val="19"/>
              </w:rPr>
              <w:t>Значение</w:t>
            </w:r>
          </w:p>
        </w:tc>
      </w:tr>
      <w:tr>
        <w:tc>
          <w:tcPr>
            <w:tcW w:type="dxa" w:w="5071"/>
            <w:vAlign w:val="center"/>
          </w:tcPr>
          <w:p>
            <w:r/>
            <w:r>
              <w:rPr>
                <w:rFonts w:ascii="Arial" w:hAnsi="Arial" w:eastAsia="Arial"/>
                <w:sz w:val="19"/>
              </w:rPr>
              <w:t>Оператор</w:t>
            </w:r>
          </w:p>
        </w:tc>
        <w:tc>
          <w:tcPr>
            <w:tcW w:type="dxa" w:w="5071"/>
            <w:vAlign w:val="center"/>
          </w:tcPr>
          <w:p>
            <w:r>
              <w:t>Индивидуальный предприниматель Шкарова Светлана Владимировна</w:t>
            </w:r>
            <w:r>
              <w:rPr>
                <w:rFonts w:ascii="Arial" w:hAnsi="Arial" w:eastAsia="Arial"/>
                <w:sz w:val="19"/>
              </w:rPr>
            </w:r>
          </w:p>
        </w:tc>
      </w:tr>
      <w:tr>
        <w:tc>
          <w:tcPr>
            <w:tcW w:type="dxa" w:w="5071"/>
            <w:vAlign w:val="center"/>
          </w:tcPr>
          <w:p>
            <w:r/>
            <w:r>
              <w:rPr>
                <w:rFonts w:ascii="Arial" w:hAnsi="Arial" w:eastAsia="Arial"/>
                <w:sz w:val="19"/>
              </w:rPr>
              <w:t>ИНН</w:t>
            </w:r>
          </w:p>
        </w:tc>
        <w:tc>
          <w:tcPr>
            <w:tcW w:type="dxa" w:w="5071"/>
            <w:vAlign w:val="center"/>
          </w:tcPr>
          <w:p>
            <w:r>
              <w:t>590770995902</w:t>
            </w:r>
            <w:r>
              <w:rPr>
                <w:rFonts w:ascii="Arial" w:hAnsi="Arial" w:eastAsia="Arial"/>
                <w:sz w:val="19"/>
              </w:rPr>
            </w:r>
          </w:p>
        </w:tc>
      </w:tr>
      <w:tr>
        <w:tc>
          <w:tcPr>
            <w:tcW w:type="dxa" w:w="5071"/>
            <w:vAlign w:val="center"/>
          </w:tcPr>
          <w:p>
            <w:r>
              <w:t>ОГРНИП</w:t>
            </w:r>
            <w:r>
              <w:rPr>
                <w:rFonts w:ascii="Arial" w:hAnsi="Arial" w:eastAsia="Arial"/>
                <w:sz w:val="19"/>
              </w:rPr>
            </w:r>
          </w:p>
        </w:tc>
        <w:tc>
          <w:tcPr>
            <w:tcW w:type="dxa" w:w="5071"/>
            <w:vAlign w:val="center"/>
          </w:tcPr>
          <w:p>
            <w:r>
              <w:t>323595800014381</w:t>
            </w:r>
            <w:r>
              <w:rPr>
                <w:rFonts w:ascii="Arial" w:hAnsi="Arial" w:eastAsia="Arial"/>
                <w:sz w:val="19"/>
              </w:rPr>
            </w:r>
          </w:p>
        </w:tc>
      </w:tr>
      <w:tr>
        <w:tc>
          <w:tcPr>
            <w:tcW w:type="dxa" w:w="5071"/>
            <w:vAlign w:val="center"/>
          </w:tcPr>
          <w:p>
            <w:r/>
            <w:r>
              <w:rPr>
                <w:rFonts w:ascii="Arial" w:hAnsi="Arial" w:eastAsia="Arial"/>
                <w:sz w:val="19"/>
              </w:rPr>
              <w:t>Адрес регистрации / юридический адрес</w:t>
            </w:r>
          </w:p>
        </w:tc>
        <w:tc>
          <w:tcPr>
            <w:tcW w:type="dxa" w:w="5071"/>
            <w:vAlign w:val="center"/>
          </w:tcPr>
          <w:p>
            <w:r>
              <w:t>614030, г. Пермь, ул. Вильямса, д. 29, кв. 159</w:t>
            </w:r>
            <w:r>
              <w:rPr>
                <w:rFonts w:ascii="Arial" w:hAnsi="Arial" w:eastAsia="Arial"/>
                <w:sz w:val="19"/>
              </w:rPr>
            </w:r>
          </w:p>
        </w:tc>
      </w:tr>
      <w:tr>
        <w:tc>
          <w:tcPr>
            <w:tcW w:type="dxa" w:w="5071"/>
            <w:vAlign w:val="center"/>
          </w:tcPr>
          <w:p>
            <w:r/>
            <w:r>
              <w:rPr>
                <w:rFonts w:ascii="Arial" w:hAnsi="Arial" w:eastAsia="Arial"/>
                <w:sz w:val="19"/>
              </w:rPr>
              <w:t>Email для обращений по персональным данным</w:t>
            </w:r>
          </w:p>
        </w:tc>
        <w:tc>
          <w:tcPr>
            <w:tcW w:type="dxa" w:w="5071"/>
            <w:vAlign w:val="center"/>
          </w:tcPr>
          <w:p>
            <w:r>
              <w:t>schkarovd@yandex.ru</w:t>
            </w:r>
            <w:r>
              <w:rPr>
                <w:rFonts w:ascii="Arial" w:hAnsi="Arial" w:eastAsia="Arial"/>
                <w:sz w:val="19"/>
              </w:rPr>
            </w:r>
          </w:p>
        </w:tc>
      </w:tr>
      <w:tr>
        <w:tc>
          <w:tcPr>
            <w:tcW w:type="dxa" w:w="5071"/>
            <w:vAlign w:val="center"/>
          </w:tcPr>
          <w:p>
            <w:r/>
            <w:r>
              <w:rPr>
                <w:rFonts w:ascii="Arial" w:hAnsi="Arial" w:eastAsia="Arial"/>
                <w:sz w:val="19"/>
              </w:rPr>
              <w:t>Сайт / страница записи</w:t>
            </w:r>
          </w:p>
        </w:tc>
        <w:tc>
          <w:tcPr>
            <w:tcW w:type="dxa" w:w="5071"/>
            <w:vAlign w:val="center"/>
          </w:tcPr>
          <w:p>
            <w:r>
              <w:t>https://sistema-game-light.vercel.app/</w:t>
            </w:r>
            <w:r>
              <w:rPr>
                <w:rFonts w:ascii="Arial" w:hAnsi="Arial" w:eastAsia="Arial"/>
                <w:sz w:val="19"/>
              </w:rPr>
            </w:r>
          </w:p>
        </w:tc>
      </w:tr>
      <w:tr>
        <w:tc>
          <w:tcPr>
            <w:tcW w:type="dxa" w:w="5071"/>
            <w:vAlign w:val="center"/>
          </w:tcPr>
          <w:p>
            <w:r/>
            <w:r>
              <w:rPr>
                <w:rFonts w:ascii="Arial" w:hAnsi="Arial" w:eastAsia="Arial"/>
                <w:sz w:val="19"/>
              </w:rPr>
              <w:t>Страница Политики обработки персональных данных</w:t>
            </w:r>
          </w:p>
        </w:tc>
        <w:tc>
          <w:tcPr>
            <w:tcW w:type="dxa" w:w="5071"/>
            <w:vAlign w:val="center"/>
          </w:tcPr>
          <w:p>
            <w:r/>
            <w:r>
              <w:rPr>
                <w:rFonts w:ascii="Arial" w:hAnsi="Arial" w:eastAsia="Arial"/>
                <w:sz w:val="19"/>
              </w:rPr>
              <w:t>____________________________________________</w:t>
            </w:r>
          </w:p>
        </w:tc>
      </w:tr>
      <w:tr>
        <w:tc>
          <w:tcPr>
            <w:tcW w:type="dxa" w:w="5071"/>
          </w:tcPr>
          <w:p>
            <w:r>
              <w:t>Фактический адрес</w:t>
            </w:r>
          </w:p>
        </w:tc>
        <w:tc>
          <w:tcPr>
            <w:tcW w:type="dxa" w:w="5071"/>
          </w:tcPr>
          <w:p>
            <w:r>
              <w:t>614030, г. Пермь, ул. Вильямса, д. 29, кв. 159</w:t>
            </w:r>
          </w:p>
        </w:tc>
      </w:tr>
      <w:tr>
        <w:tc>
          <w:tcPr>
            <w:tcW w:type="dxa" w:w="5071"/>
          </w:tcPr>
          <w:p>
            <w:r>
              <w:t>Телефон</w:t>
            </w:r>
          </w:p>
        </w:tc>
        <w:tc>
          <w:tcPr>
            <w:tcW w:type="dxa" w:w="5071"/>
          </w:tcPr>
          <w:p>
            <w:r>
              <w:t>8-992-205-55-11</w:t>
            </w:r>
          </w:p>
        </w:tc>
      </w:tr>
    </w:tbl>
    <w:p>
      <w:pPr>
        <w:pStyle w:val="Heading2"/>
      </w:pPr>
      <w:r>
        <w:t>3. Какие персональные данные обрабатываются</w:t>
      </w:r>
    </w:p>
    <w:p>
      <w:r>
        <w:t>3.1. Оператор может обрабатывать следующие персональные данные:</w:t>
      </w:r>
    </w:p>
    <w:p>
      <w:pPr>
        <w:pStyle w:val="ListBullet"/>
      </w:pPr>
      <w:r>
        <w:t>фамилия, имя, отчество;</w:t>
      </w:r>
    </w:p>
    <w:p>
      <w:pPr>
        <w:pStyle w:val="ListBullet"/>
      </w:pPr>
      <w:r>
        <w:t>номер телефона;</w:t>
      </w:r>
    </w:p>
    <w:p>
      <w:pPr>
        <w:pStyle w:val="ListBullet"/>
      </w:pPr>
      <w:r>
        <w:t>адрес электронной почты;</w:t>
      </w:r>
    </w:p>
    <w:p>
      <w:pPr>
        <w:pStyle w:val="ListBullet"/>
      </w:pPr>
      <w:r>
        <w:t>Telegram-аккаунт, никнейм, ID пользователя в Telegram и иных мессенджерах;</w:t>
      </w:r>
    </w:p>
    <w:p>
      <w:pPr>
        <w:pStyle w:val="ListBullet"/>
      </w:pPr>
      <w:r>
        <w:t>данные заявки, даты записи, выбранной игровой сессии, статуса участия, тарифа и оплаты;</w:t>
      </w:r>
    </w:p>
    <w:p>
      <w:pPr>
        <w:pStyle w:val="ListBullet"/>
      </w:pPr>
      <w:r>
        <w:t>переписка с Оператором, менеджерами, администраторами, службой поддержки и амбассадорами;</w:t>
      </w:r>
    </w:p>
    <w:p>
      <w:pPr>
        <w:pStyle w:val="ListBullet"/>
      </w:pPr>
      <w:r>
        <w:t>данные об участии в игре: дата, время, место, факт явки, факт переноса, факт отказа от участия;</w:t>
      </w:r>
    </w:p>
    <w:p>
      <w:pPr>
        <w:pStyle w:val="ListBullet"/>
      </w:pPr>
      <w:r>
        <w:t>IP-адрес, cookie, данные устройства, браузера и поведения на сайте, если используется сайт или форма записи;</w:t>
      </w:r>
    </w:p>
    <w:p>
      <w:pPr>
        <w:pStyle w:val="ListBullet"/>
      </w:pPr>
      <w:r>
        <w:t>фото- и видеоматериалы с мероприятия только при наличии отдельного согласия на съемку или в иных случаях, допустимых законом;</w:t>
      </w:r>
    </w:p>
    <w:p>
      <w:pPr>
        <w:pStyle w:val="ListBullet"/>
      </w:pPr>
      <w:r>
        <w:t>иные данные, которые пользователь добровольно передает Оператору в связи с записью и участием в игре.</w:t>
      </w:r>
    </w:p>
    <w:p>
      <w:r>
        <w:t>3.2. Оператор может обрабатывать данные представителей юридических лиц, партнеров, амбассадоров и подрядчиков, если такие лица взаимодействуют с Оператором по вопросам организации, продажи, продвижения или проведения игры.</w:t>
      </w:r>
    </w:p>
    <w:p>
      <w:r>
        <w:t>3.3. Оператор не обрабатывает биометрические персональные данные для установления личности пользователя. Фото, видео или аватар, если они появляются в сервисах или материалах мероприятия, не используются Оператором для идентификации личности как биометрические данные.</w:t>
      </w:r>
    </w:p>
    <w:p>
      <w:pPr>
        <w:pStyle w:val="Heading2"/>
      </w:pPr>
      <w:r>
        <w:t>4. Цели обработки</w:t>
      </w:r>
    </w:p>
    <w:p>
      <w:pPr>
        <w:pStyle w:val="ListBullet"/>
      </w:pPr>
      <w:r>
        <w:t>прием и обработка заявок на участие в игре;</w:t>
      </w:r>
    </w:p>
    <w:p>
      <w:pPr>
        <w:pStyle w:val="ListBullet"/>
      </w:pPr>
      <w:r>
        <w:t>связь с пользователем по вопросам записи, оплаты, даты, времени и места проведения игры;</w:t>
      </w:r>
    </w:p>
    <w:p>
      <w:pPr>
        <w:pStyle w:val="ListBullet"/>
      </w:pPr>
      <w:r>
        <w:t>подтверждение участия и резервирование места за игровым столом;</w:t>
      </w:r>
    </w:p>
    <w:p>
      <w:pPr>
        <w:pStyle w:val="ListBullet"/>
      </w:pPr>
      <w:r>
        <w:t>формирование списка участников конкретной игровой сессии;</w:t>
      </w:r>
    </w:p>
    <w:p>
      <w:pPr>
        <w:pStyle w:val="ListBullet"/>
      </w:pPr>
      <w:r>
        <w:t>прием оплаты, оформление чеков, возвратов, переносов и бухгалтерских документов;</w:t>
      </w:r>
    </w:p>
    <w:p>
      <w:pPr>
        <w:pStyle w:val="ListBullet"/>
      </w:pPr>
      <w:r>
        <w:t>направление сервисных сообщений о правилах участия, изменениях расписания, адресе, времени сбора и организационных деталях;</w:t>
      </w:r>
    </w:p>
    <w:p>
      <w:pPr>
        <w:pStyle w:val="ListBullet"/>
      </w:pPr>
      <w:r>
        <w:t>обработка обращений, претензий и заявлений о возврате;</w:t>
      </w:r>
    </w:p>
    <w:p>
      <w:pPr>
        <w:pStyle w:val="ListBullet"/>
      </w:pPr>
      <w:r>
        <w:t>защита прав Оператора, фиксация факта уведомления, записи, явки, неявки и нарушения правил;</w:t>
      </w:r>
    </w:p>
    <w:p>
      <w:pPr>
        <w:pStyle w:val="ListBullet"/>
      </w:pPr>
      <w:r>
        <w:t>проведение рекламных и информационных рассылок только при наличии отдельного согласия;</w:t>
      </w:r>
    </w:p>
    <w:p>
      <w:pPr>
        <w:pStyle w:val="ListBullet"/>
      </w:pPr>
      <w:r>
        <w:t>аналитика заявок, продаж и качества организации игры;</w:t>
      </w:r>
    </w:p>
    <w:p>
      <w:pPr>
        <w:pStyle w:val="ListBullet"/>
      </w:pPr>
      <w:r>
        <w:t>исполнение требований закона.</w:t>
      </w:r>
    </w:p>
    <w:p>
      <w:pPr>
        <w:pStyle w:val="Heading2"/>
      </w:pPr>
      <w:r>
        <w:t>5. Правовые основания обработки</w:t>
      </w:r>
    </w:p>
    <w:p>
      <w:r>
        <w:t>5.1. Оператор обрабатывает персональные данные на основании закона, договора с пользователем, согласия пользователя, отдельного согласия на рассылку, отдельного согласия на фото- и видеосъемку, а также для защиты своих прав и законных интересов.</w:t>
      </w:r>
    </w:p>
    <w:p>
      <w:r>
        <w:t>5.2. Сервисные сообщения о записи, оплате, дате, времени, адресе, переносе, правилах участия, возврате и иных организационных вопросах направляются пользователю в связи с исполнением договора и не считаются рекламной рассылкой.</w:t>
      </w:r>
    </w:p>
    <w:p>
      <w:pPr>
        <w:pStyle w:val="Heading2"/>
      </w:pPr>
      <w:r>
        <w:t>6. Где и как обрабатываются данные</w:t>
      </w:r>
    </w:p>
    <w:p>
      <w:r>
        <w:t>6.1. Данные граждан Российской Федерации записываются, систематизируются, накапливаются, хранятся и извлекаются с использованием баз данных на территории Российской Федерации, если это требуется законом.</w:t>
      </w:r>
    </w:p>
    <w:p>
      <w:r>
        <w:t>6.2. Оператор может использовать сайт, формы заявок, CRM, Telegram, WhatsApp, email, платежные сервисы, сервисы рассылок, сервисы аналитики, сервисы документооборота, облачные хранилища, бухгалтерские сервисы и иные технические инструменты, необходимые для организации игры.</w:t>
      </w:r>
    </w:p>
    <w:p>
      <w:r>
        <w:t>6.3. Оператор может поручать обработку данных третьим лицам, если это необходимо для записи, оплаты, проведения игры, коммуникации с участником, поддержки, аналитики, бухгалтерии, юридической защиты или исполнения закона.</w:t>
      </w:r>
    </w:p>
    <w:p>
      <w:pPr/>
      <w:r>
        <w:t>6.4. Если заявка или оплата поступает через амбассадора, партнера, менеджера или иное привлеченное лицо, такое лицо должно передавать данные Оператору только на законном основании и только в объеме, необходимом для записи, оплаты, подтверждения участия и организации игры. С такими лицами рекомендуется оформлять письменное соглашение о конфиденциальности и порядке обработки персональных данных.</w:t>
      </w:r>
    </w:p>
    <w:p>
      <w:pPr>
        <w:pStyle w:val="Heading2"/>
      </w:pPr>
      <w:r>
        <w:t>7. Обработчики и сервисы</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r/>
            <w:r>
              <w:rPr>
                <w:rFonts w:ascii="Arial" w:hAnsi="Arial" w:eastAsia="Arial"/>
                <w:b/>
                <w:sz w:val="19"/>
              </w:rPr>
              <w:t>Сервис / обработчик</w:t>
            </w:r>
          </w:p>
        </w:tc>
        <w:tc>
          <w:tcPr>
            <w:tcW w:type="dxa" w:w="5071"/>
            <w:vAlign w:val="center"/>
            <w:shd w:fill="D9EAF7"/>
          </w:tcPr>
          <w:p>
            <w:r/>
            <w:r>
              <w:rPr>
                <w:rFonts w:ascii="Arial" w:hAnsi="Arial" w:eastAsia="Arial"/>
                <w:b/>
                <w:sz w:val="19"/>
              </w:rPr>
              <w:t>Назначение</w:t>
            </w:r>
          </w:p>
        </w:tc>
      </w:tr>
      <w:tr>
        <w:tc>
          <w:tcPr>
            <w:tcW w:type="dxa" w:w="5071"/>
            <w:vAlign w:val="center"/>
          </w:tcPr>
          <w:p>
            <w:r/>
            <w:r>
              <w:rPr>
                <w:rFonts w:ascii="Arial" w:hAnsi="Arial" w:eastAsia="Arial"/>
                <w:sz w:val="19"/>
              </w:rPr>
              <w:t>Платежный сервис / эквайринг</w:t>
            </w:r>
          </w:p>
        </w:tc>
        <w:tc>
          <w:tcPr>
            <w:tcW w:type="dxa" w:w="5071"/>
            <w:vAlign w:val="center"/>
          </w:tcPr>
          <w:p>
            <w:r>
              <w:t>АО "ТИНЬКОФФ БАНК", БИК 044525974, р/с 40802810600004254187</w:t>
            </w:r>
            <w:r>
              <w:rPr>
                <w:rFonts w:ascii="Arial" w:hAnsi="Arial" w:eastAsia="Arial"/>
                <w:sz w:val="19"/>
              </w:rPr>
            </w:r>
          </w:p>
        </w:tc>
      </w:tr>
      <w:tr>
        <w:tc>
          <w:tcPr>
            <w:tcW w:type="dxa" w:w="5071"/>
            <w:vAlign w:val="center"/>
          </w:tcPr>
          <w:p>
            <w:r/>
            <w:r>
              <w:rPr>
                <w:rFonts w:ascii="Arial" w:hAnsi="Arial" w:eastAsia="Arial"/>
                <w:sz w:val="19"/>
              </w:rPr>
              <w:t>Сайт / хостинг / конструктор страниц</w:t>
            </w:r>
          </w:p>
        </w:tc>
        <w:tc>
          <w:tcPr>
            <w:tcW w:type="dxa" w:w="5071"/>
            <w:vAlign w:val="center"/>
          </w:tcPr>
          <w:p>
            <w:r>
              <w:t>https://sistema-game-light.vercel.app/</w:t>
            </w:r>
            <w:r>
              <w:rPr>
                <w:rFonts w:ascii="Arial" w:hAnsi="Arial" w:eastAsia="Arial"/>
                <w:sz w:val="19"/>
              </w:rPr>
            </w:r>
          </w:p>
        </w:tc>
      </w:tr>
      <w:tr>
        <w:tc>
          <w:tcPr>
            <w:tcW w:type="dxa" w:w="5071"/>
            <w:vAlign w:val="center"/>
          </w:tcPr>
          <w:p>
            <w:r/>
            <w:r>
              <w:rPr>
                <w:rFonts w:ascii="Arial" w:hAnsi="Arial" w:eastAsia="Arial"/>
                <w:sz w:val="19"/>
              </w:rPr>
              <w:t>Telegram / мессенджеры</w:t>
            </w:r>
          </w:p>
        </w:tc>
        <w:tc>
          <w:tcPr>
            <w:tcW w:type="dxa" w:w="5071"/>
            <w:vAlign w:val="center"/>
          </w:tcPr>
          <w:p>
            <w:r/>
            <w:r>
              <w:rPr>
                <w:rFonts w:ascii="Arial" w:hAnsi="Arial" w:eastAsia="Arial"/>
                <w:sz w:val="19"/>
              </w:rPr>
              <w:t>Коммуникация с участниками, подтверждения, сервисные уведомления</w:t>
            </w:r>
          </w:p>
        </w:tc>
      </w:tr>
      <w:tr>
        <w:tc>
          <w:tcPr>
            <w:tcW w:type="dxa" w:w="5071"/>
          </w:tcPr>
          <w:p>
            <w:r>
              <w:t>Онлайн-касса / ОФД</w:t>
            </w:r>
          </w:p>
        </w:tc>
        <w:tc>
          <w:tcPr>
            <w:tcW w:type="dxa" w:w="5071"/>
          </w:tcPr>
          <w:p>
            <w:r>
              <w:t>Формирование и направление кассовых чеков, передача фискальных данных, если применяется.</w:t>
            </w:r>
          </w:p>
        </w:tc>
      </w:tr>
      <w:tr>
        <w:tc>
          <w:tcPr>
            <w:tcW w:type="dxa" w:w="5071"/>
          </w:tcPr>
          <w:p>
            <w:r>
              <w:t>Амбассадоры / партнеры / менеджеры</w:t>
            </w:r>
          </w:p>
        </w:tc>
        <w:tc>
          <w:tcPr>
            <w:tcW w:type="dxa" w:w="5071"/>
          </w:tcPr>
          <w:p>
            <w:r>
              <w:t>Прием заявок, первичная коммуникация, передача данных Оператору, если такие лица фактически участвуют в продажах или организации игры.</w:t>
            </w:r>
          </w:p>
        </w:tc>
      </w:tr>
    </w:tbl>
    <w:p>
      <w:r>
        <w:t>7.1. Перед публикацией Политики Оператор обязан заменить пустые строки на фактические сервисы. Если сервис не используется, строку нужно удалить.</w:t>
      </w:r>
    </w:p>
    <w:p>
      <w:pPr>
        <w:pStyle w:val="Heading2"/>
      </w:pPr>
      <w:r>
        <w:t>8. Трансграничная передача</w:t>
      </w:r>
    </w:p>
    <w:p>
      <w:r>
        <w:t>8.1. При использовании Telegram, WhatsApp, отдельных сервисов аналитики, рассылок или иных иностранных технических сервисов может происходить трансграничная передача персональных данных.</w:t>
      </w:r>
    </w:p>
    <w:p>
      <w:r>
        <w:t>8.2. До начала такой передачи Оператор принимает меры, предусмотренные законом, и при необходимости направляет уведомление в Роскомнадзор.</w:t>
      </w:r>
    </w:p>
    <w:p>
      <w:r>
        <w:t>8.3. Пользователь понимает, что при самостоятельном использовании Telegram, WhatsApp и иных сервисов он также взаимодействует с такими сервисами по их собственным правилам.</w:t>
      </w:r>
    </w:p>
    <w:p>
      <w:pPr>
        <w:pStyle w:val="Heading2"/>
      </w:pPr>
      <w:r>
        <w:t>9. Сроки хранения</w:t>
      </w:r>
    </w:p>
    <w:p>
      <w:r>
        <w:t>9.1. Данные хранятся до достижения целей обработки, окончания срока действия договора, истечения сроков хранения по закону, отзыва согласия или удаления данных, если Оператор не обязан продолжить хранение по закону или для защиты своих прав.</w:t>
      </w:r>
    </w:p>
    <w:p>
      <w:r>
        <w:t>9.2. Данные об оплатах, чеках, заявках, датах участия, переносах, возвратах, претензиях и нарушениях правил могут храниться дольше, если это необходимо для бухгалтерского, налогового учета, подтверждения факта оказания услуги или защиты прав Оператора.</w:t>
      </w:r>
    </w:p>
    <w:p>
      <w:pPr>
        <w:pStyle w:val="Heading2"/>
      </w:pPr>
      <w:r>
        <w:t>10. Права пользователя</w:t>
      </w:r>
    </w:p>
    <w:p>
      <w:pPr>
        <w:pStyle w:val="ListBullet"/>
      </w:pPr>
      <w:r>
        <w:t>получать информацию об обработке своих персональных данных;</w:t>
      </w:r>
    </w:p>
    <w:p>
      <w:pPr>
        <w:pStyle w:val="ListBullet"/>
      </w:pPr>
      <w:r>
        <w:t>требовать уточнения, блокировки или уничтожения данных, если они неполные, устаревшие, неточные, незаконно полученные или не нужны для заявленной цели;</w:t>
      </w:r>
    </w:p>
    <w:p>
      <w:pPr>
        <w:pStyle w:val="ListBullet"/>
      </w:pPr>
      <w:r>
        <w:t>отозвать согласие на обработку персональных данных;</w:t>
      </w:r>
    </w:p>
    <w:p>
      <w:pPr>
        <w:pStyle w:val="ListBullet"/>
      </w:pPr>
      <w:r>
        <w:t>отозвать согласие на рекламную рассылку;</w:t>
      </w:r>
    </w:p>
    <w:p>
      <w:pPr>
        <w:pStyle w:val="ListBullet"/>
      </w:pPr>
      <w:r>
        <w:t>отозвать согласие на использование изображения, если применимо и если дальнейшее использование не основано на ином законном основании;</w:t>
      </w:r>
    </w:p>
    <w:p>
      <w:pPr>
        <w:pStyle w:val="ListBullet"/>
      </w:pPr>
      <w:r>
        <w:t>направлять обращения Оператору по email или почтовому адресу.</w:t>
      </w:r>
    </w:p>
    <w:p>
      <w:pPr>
        <w:pStyle w:val="Heading2"/>
      </w:pPr>
      <w:r>
        <w:t>11. Обращения пользователя</w:t>
      </w:r>
    </w:p>
    <w:p>
      <w:r>
        <w:t>11.1. Обращения по персональным данным направляются на email: schkarovd@yandex.ru.</w:t>
      </w:r>
    </w:p>
    <w:p>
      <w:r>
        <w:t>11.2. В обращении нужно указать ФИО, контактный email или телефон, суть обращения и сведения, позволяющие Оператору идентифицировать пользователя.</w:t>
      </w:r>
    </w:p>
    <w:p>
      <w:r>
        <w:t>11.3. Оператор вправе запросить дополнительные сведения, если без них невозможно понять, кто обратился и какие данные нужно проверить.</w:t>
      </w:r>
    </w:p>
    <w:p>
      <w:pPr>
        <w:pStyle w:val="Heading2"/>
      </w:pPr>
      <w:r>
        <w:t>12. Безопасность данных</w:t>
      </w:r>
    </w:p>
    <w:p>
      <w:r>
        <w:t>12.1. Оператор принимает правовые, организационные и технические меры для защиты данных от случайного или неправомерного доступа, удаления, изменения, копирования, распространения и иных неправомерных действий.</w:t>
      </w:r>
    </w:p>
    <w:p>
      <w:r>
        <w:t>12.2. Доступ к данным получают только лица, которым он необходим для записи, оплаты, организации игры, коммуникации, поддержки, бухгалтерии, юридической защиты или исполнения закона.</w:t>
      </w:r>
    </w:p>
    <w:p>
      <w:pPr>
        <w:pStyle w:val="Heading2"/>
      </w:pPr>
      <w:r>
        <w:t>13. Изменение Политики</w:t>
      </w:r>
    </w:p>
    <w:p>
      <w:r>
        <w:t>13.1. Оператор вправе обновлять Политику. Новая редакция действует с момента публикации на сайте или странице записи, если в ней не указана другая дата.</w:t>
      </w:r>
    </w:p>
    <w:p>
      <w:r>
        <w:br w:type="page"/>
      </w:r>
    </w:p>
    <w:sectPr w:rsidR="00FC693F" w:rsidRPr="0006063C" w:rsidSect="00034616">
      <w:footerReference w:type="default" r:id="rId9"/>
      <w:pgSz w:w="12240" w:h="15840"/>
      <w:pgMar w:top="1020" w:right="96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Юридический пакет офлайн-игры «Система» | редакция для заполнения реквизитов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20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eastAsia="Arial"/>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Юридический пакет офлайн-игры Система</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