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0"/>
      </w:pPr>
      <w:r>
        <w:t xml:space="preserve"/>
      </w:r>
    </w:p>
    <w:p>
      <w:pPr>
        <w:spacing w:after="80"/>
        <w:jc w:val="center"/>
      </w:pPr>
      <w:r>
        <w:rPr>
          <w:rFonts w:ascii="Times New Roman" w:cs="Times New Roman" w:eastAsia="Times New Roman" w:hAnsi="Times New Roman"/>
          <w:b/>
          <w:bCs/>
          <w:color w:val="020617"/>
          <w:sz w:val="72"/>
          <w:szCs w:val="72"/>
        </w:rPr>
        <w:t xml:space="preserve">TUNOG KALYE RADIO</w:t>
      </w:r>
    </w:p>
    <w:p>
      <w:pPr>
        <w:spacing w:after="200"/>
        <w:jc w:val="center"/>
      </w:pPr>
      <w:r>
        <w:rPr>
          <w:rFonts w:ascii="Calibri" w:cs="Calibri" w:eastAsia="Calibri" w:hAnsi="Calibri"/>
          <w:color w:val="94A3B8"/>
          <w:sz w:val="20"/>
          <w:szCs w:val="20"/>
        </w:rPr>
        <w:t xml:space="preserve">━━━━━━━━━━━━━━━━━━━━━━━━</w:t>
      </w:r>
    </w:p>
    <w:p>
      <w:pPr>
        <w:spacing w:after="100"/>
        <w:jc w:val="center"/>
      </w:pPr>
      <w:r>
        <w:rPr>
          <w:rFonts w:ascii="Times New Roman" w:cs="Times New Roman" w:eastAsia="Times New Roman" w:hAnsi="Times New Roman"/>
          <w:color w:val="64748B"/>
          <w:sz w:val="40"/>
          <w:szCs w:val="40"/>
        </w:rPr>
        <w:t xml:space="preserve">Core Foundation &amp; Strategic Vision</w:t>
      </w:r>
    </w:p>
    <w:p>
      <w:pPr>
        <w:spacing w:after="0" w:before="600"/>
      </w:pPr>
      <w:r>
        <w:t xml:space="preserve"/>
      </w:r>
    </w:p>
    <w:p>
      <w:pPr>
        <w:spacing w:after="60"/>
        <w:jc w:val="center"/>
      </w:pPr>
      <w:r>
        <w:rPr>
          <w:rFonts w:ascii="Calibri" w:cs="Calibri" w:eastAsia="Calibri" w:hAnsi="Calibri"/>
          <w:i/>
          <w:iCs/>
          <w:color w:val="94A3B8"/>
          <w:sz w:val="24"/>
          <w:szCs w:val="24"/>
        </w:rPr>
        <w:t xml:space="preserve">Bridging the Golden Era of 90s Pinoy Rock</w:t>
      </w:r>
    </w:p>
    <w:p>
      <w:pPr>
        <w:spacing w:after="60"/>
        <w:jc w:val="center"/>
      </w:pPr>
      <w:r>
        <w:rPr>
          <w:rFonts w:ascii="Calibri" w:cs="Calibri" w:eastAsia="Calibri" w:hAnsi="Calibri"/>
          <w:i/>
          <w:iCs/>
          <w:color w:val="94A3B8"/>
          <w:sz w:val="24"/>
          <w:szCs w:val="24"/>
        </w:rPr>
        <w:t xml:space="preserve">with the Modern Indie Movement</w:t>
      </w:r>
    </w:p>
    <w:p>
      <w:pPr>
        <w:spacing w:after="0" w:before="2000"/>
      </w:pPr>
      <w:r>
        <w:t xml:space="preserve"/>
      </w:r>
    </w:p>
    <w:p>
      <w:pPr>
        <w:spacing w:after="60"/>
        <w:jc w:val="center"/>
      </w:pPr>
      <w:r>
        <w:rPr>
          <w:rFonts w:ascii="Calibri" w:cs="Calibri" w:eastAsia="Calibri" w:hAnsi="Calibri"/>
          <w:color w:val="64748B"/>
          <w:sz w:val="20"/>
          <w:szCs w:val="20"/>
        </w:rPr>
        <w:t xml:space="preserve">The Premier Grassroots Broadcasting Network for Filipino Independent Music</w:t>
      </w:r>
    </w:p>
    <w:p>
      <w:pPr>
        <w:spacing w:after="60"/>
        <w:jc w:val="center"/>
      </w:pPr>
      <w:r>
        <w:rPr>
          <w:rFonts w:ascii="Calibri" w:cs="Calibri" w:eastAsia="Calibri" w:hAnsi="Calibri"/>
          <w:color w:val="94A3B8"/>
          <w:sz w:val="18"/>
          <w:szCs w:val="18"/>
        </w:rPr>
        <w:t xml:space="preserve">Confidential Strategic Document  |  2026</w:t>
      </w:r>
    </w:p>
    <w:p>
      <w:pPr>
        <w:sectPr>
          <w:pgSz w:w="11906" w:h="16838" w:orient="portrait"/>
          <w:pgMar w:top="0" w:right="0" w:bottom="0" w:left="0" w:header="708" w:footer="708" w:gutter="0"/>
          <w:pgNumType/>
          <w:titlePg/>
          <w:docGrid w:linePitch="360"/>
        </w:sectPr>
      </w:pPr>
    </w:p>
    <w:p>
      <w:pPr>
        <w:spacing w:after="300" w:before="200"/>
      </w:pPr>
      <w:r>
        <w:rPr>
          <w:rFonts w:ascii="Times New Roman" w:cs="Times New Roman" w:eastAsia="Times New Roman" w:hAnsi="Times New Roman"/>
          <w:b/>
          <w:bCs/>
          <w:color w:val="020617"/>
          <w:sz w:val="40"/>
          <w:szCs w:val="40"/>
        </w:rPr>
        <w:t xml:space="preserve">Table of Contents</w:t>
      </w:r>
    </w:p>
    <w:p>
      <w:pPr>
        <w:spacing w:after="100" w:before="100"/>
      </w:pPr>
      <w:r>
        <w:rPr>
          <w:rFonts w:ascii="Calibri" w:cs="Calibri" w:eastAsia="Calibri" w:hAnsi="Calibri"/>
          <w:color w:val="94A3B8"/>
          <w:sz w:val="14"/>
          <w:szCs w:val="14"/>
        </w:rPr>
        <w:t xml:space="preserve">━━━━━━━━━━━━━━━━━━━━━━━━━━━━━━━━━━━━━━━━━━━</w:t>
      </w:r>
    </w:p>
    <w:sdt>
      <w:sdtPr>
        <w:alias w:val="Table of Contents"/>
      </w:sdtPr>
      <w:sdtContent>
        <w:p>
          <w:r>
            <w:fldChar w:fldCharType="begin" w:dirty="true"/>
            <w:instrText xml:space="preserve">TOC \h \o "1-3"</w:instrText>
            <w:fldChar w:fldCharType="separate"/>
          </w:r>
        </w:p>
        <w:p>
          <w:pPr>
            <w:pStyle w:val="9"/>
            <w:tabs>
              <w:tab w:val="right" w:leader="dot" w:pos="9026"/>
            </w:tabs>
          </w:pPr>
          <w:r>
            <w:t>1. The Problem We Solve</w:t>
          </w:r>
          <w:r>
            <w:tab/>
          </w:r>
          <w:r>
            <w:t>1</w:t>
          </w:r>
        </w:p>
        <w:p>
          <w:pPr>
            <w:pStyle w:val="9"/>
            <w:tabs>
              <w:tab w:val="right" w:leader="dot" w:pos="9026"/>
            </w:tabs>
          </w:pPr>
          <w:r>
            <w:t>2. Our Mission &amp; Vision</w:t>
          </w:r>
          <w:r>
            <w:tab/>
          </w:r>
          <w:r>
            <w:t>2</w:t>
          </w:r>
        </w:p>
        <w:p>
          <w:pPr>
            <w:pStyle w:val="11"/>
            <w:ind w:left="360"/>
            <w:tabs>
              <w:tab w:val="right" w:leader="dot" w:pos="9026"/>
            </w:tabs>
          </w:pPr>
          <w:r>
            <w:t>2.1 Our Mission</w:t>
          </w:r>
          <w:r>
            <w:tab/>
          </w:r>
          <w:r>
            <w:t>2</w:t>
          </w:r>
        </w:p>
        <w:p>
          <w:pPr>
            <w:pStyle w:val="11"/>
            <w:ind w:left="360"/>
            <w:tabs>
              <w:tab w:val="right" w:leader="dot" w:pos="9026"/>
            </w:tabs>
          </w:pPr>
          <w:r>
            <w:t>2.2 Our Vision</w:t>
          </w:r>
          <w:r>
            <w:tab/>
          </w:r>
          <w:r>
            <w:t>2</w:t>
          </w:r>
        </w:p>
        <w:p>
          <w:pPr>
            <w:pStyle w:val="9"/>
            <w:tabs>
              <w:tab w:val="right" w:leader="dot" w:pos="9026"/>
            </w:tabs>
          </w:pPr>
          <w:r>
            <w:t>3. Core Infrastructure: The Kanto Tech Stack</w:t>
          </w:r>
          <w:r>
            <w:tab/>
          </w:r>
          <w:r>
            <w:t>3</w:t>
          </w:r>
        </w:p>
        <w:p>
          <w:pPr>
            <w:pStyle w:val="11"/>
            <w:ind w:left="360"/>
            <w:tabs>
              <w:tab w:val="right" w:leader="dot" w:pos="9026"/>
            </w:tabs>
          </w:pPr>
          <w:r>
            <w:t>3.1 AzuraCast: The Broadcast Engine</w:t>
          </w:r>
          <w:r>
            <w:tab/>
          </w:r>
          <w:r>
            <w:t>3</w:t>
          </w:r>
        </w:p>
        <w:p>
          <w:pPr>
            <w:pStyle w:val="11"/>
            <w:ind w:left="360"/>
            <w:tabs>
              <w:tab w:val="right" w:leader="dot" w:pos="9026"/>
            </w:tabs>
          </w:pPr>
          <w:r>
            <w:t>3.2 Dotcompal Funnels: The Artist &amp; Revenue Hub</w:t>
          </w:r>
          <w:r>
            <w:tab/>
          </w:r>
          <w:r>
            <w:t>4</w:t>
          </w:r>
        </w:p>
        <w:p>
          <w:pPr>
            <w:pStyle w:val="11"/>
            <w:ind w:left="360"/>
            <w:tabs>
              <w:tab w:val="right" w:leader="dot" w:pos="9026"/>
            </w:tabs>
          </w:pPr>
          <w:r>
            <w:t>3.3 Mixxx Integration: The Live Experience</w:t>
          </w:r>
          <w:r>
            <w:tab/>
          </w:r>
          <w:r>
            <w:t>4</w:t>
          </w:r>
        </w:p>
        <w:p>
          <w:pPr>
            <w:pStyle w:val="9"/>
            <w:tabs>
              <w:tab w:val="right" w:leader="dot" w:pos="9026"/>
            </w:tabs>
          </w:pPr>
          <w:r>
            <w:t>4. The Support-The-Artist Business Model</w:t>
          </w:r>
          <w:r>
            <w:tab/>
          </w:r>
          <w:r>
            <w:t>5</w:t>
          </w:r>
        </w:p>
        <w:p>
          <w:pPr>
            <w:pStyle w:val="11"/>
            <w:ind w:left="360"/>
            <w:tabs>
              <w:tab w:val="right" w:leader="dot" w:pos="9026"/>
            </w:tabs>
          </w:pPr>
          <w:r>
            <w:t>4.1 The Kanto Fund: Revenue Sharing</w:t>
          </w:r>
          <w:r>
            <w:tab/>
          </w:r>
          <w:r>
            <w:t>5</w:t>
          </w:r>
        </w:p>
        <w:p>
          <w:pPr>
            <w:pStyle w:val="11"/>
            <w:ind w:left="360"/>
            <w:tabs>
              <w:tab w:val="right" w:leader="dot" w:pos="9026"/>
            </w:tabs>
          </w:pPr>
          <w:r>
            <w:t>4.2 Direct-to-Fan Monetization Funnels</w:t>
          </w:r>
          <w:r>
            <w:tab/>
          </w:r>
          <w:r>
            <w:t>6</w:t>
          </w:r>
        </w:p>
        <w:p>
          <w:pPr>
            <w:pStyle w:val="11"/>
            <w:ind w:left="360"/>
            <w:tabs>
              <w:tab w:val="right" w:leader="dot" w:pos="9026"/>
            </w:tabs>
          </w:pPr>
          <w:r>
            <w:t>4.3 Targeted Local Sponsorships</w:t>
          </w:r>
          <w:r>
            <w:tab/>
          </w:r>
          <w:r>
            <w:t>6</w:t>
          </w:r>
        </w:p>
        <w:p>
          <w:pPr>
            <w:pStyle w:val="9"/>
            <w:tabs>
              <w:tab w:val="right" w:leader="dot" w:pos="9026"/>
            </w:tabs>
          </w:pPr>
          <w:r>
            <w:t>5. Artist &amp; Audience Engagement Strategy</w:t>
          </w:r>
          <w:r>
            <w:tab/>
          </w:r>
          <w:r>
            <w:t>7</w:t>
          </w:r>
        </w:p>
        <w:p>
          <w:pPr>
            <w:pStyle w:val="11"/>
            <w:ind w:left="360"/>
            <w:tabs>
              <w:tab w:val="right" w:leader="dot" w:pos="9026"/>
            </w:tabs>
          </w:pPr>
          <w:r>
            <w:t>5.1 The Open Kanto Policy</w:t>
          </w:r>
          <w:r>
            <w:tab/>
          </w:r>
          <w:r>
            <w:t>7</w:t>
          </w:r>
        </w:p>
        <w:p>
          <w:pPr>
            <w:pStyle w:val="11"/>
            <w:ind w:left="360"/>
            <w:tabs>
              <w:tab w:val="right" w:leader="dot" w:pos="9026"/>
            </w:tabs>
          </w:pPr>
          <w:r>
            <w:t>5.2 Community Over Algorithms</w:t>
          </w:r>
          <w:r>
            <w:tab/>
          </w:r>
          <w:r>
            <w:t>8</w:t>
          </w:r>
        </w:p>
        <w:p>
          <w:pPr>
            <w:pStyle w:val="11"/>
            <w:ind w:left="360"/>
            <w:tabs>
              <w:tab w:val="right" w:leader="dot" w:pos="9026"/>
            </w:tabs>
          </w:pPr>
          <w:r>
            <w:t>5.3 The Video Hub Expansion</w:t>
          </w:r>
          <w:r>
            <w:tab/>
          </w:r>
          <w:r>
            <w:t>8</w:t>
          </w:r>
        </w:p>
        <w:p>
          <w:pPr>
            <w:pStyle w:val="9"/>
            <w:tabs>
              <w:tab w:val="right" w:leader="dot" w:pos="9026"/>
            </w:tabs>
          </w:pPr>
          <w:r>
            <w:t>6. Marketing &amp; Growth Roadmap</w:t>
          </w:r>
          <w:r>
            <w:tab/>
          </w:r>
          <w:r>
            <w:t>9</w:t>
          </w:r>
        </w:p>
        <w:p>
          <w:pPr>
            <w:pStyle w:val="11"/>
            <w:ind w:left="360"/>
            <w:tabs>
              <w:tab w:val="right" w:leader="dot" w:pos="9026"/>
            </w:tabs>
          </w:pPr>
          <w:r>
            <w:t>6.1 Phase 1: Grassroots Hacking (Current Phase)</w:t>
          </w:r>
          <w:r>
            <w:tab/>
          </w:r>
          <w:r>
            <w:t>9</w:t>
          </w:r>
        </w:p>
        <w:p>
          <w:pPr>
            <w:pStyle w:val="11"/>
            <w:ind w:left="360"/>
            <w:tabs>
              <w:tab w:val="right" w:leader="dot" w:pos="9026"/>
            </w:tabs>
          </w:pPr>
          <w:r>
            <w:t>6.2 Phase 2: The Surrey-Philippines Bridge</w:t>
          </w:r>
          <w:r>
            <w:tab/>
          </w:r>
          <w:r>
            <w:t>10</w:t>
          </w:r>
        </w:p>
        <w:p>
          <w:pPr>
            <w:pStyle w:val="11"/>
            <w:ind w:left="360"/>
            <w:tabs>
              <w:tab w:val="right" w:leader="dot" w:pos="9026"/>
            </w:tabs>
          </w:pPr>
          <w:r>
            <w:t>6.3 Phase 3: Strategic Partnerships</w:t>
          </w:r>
          <w:r>
            <w:tab/>
          </w:r>
          <w:r>
            <w:t>10</w:t>
          </w:r>
        </w:p>
        <w:p>
          <w:pPr>
            <w:pStyle w:val="9"/>
            <w:tabs>
              <w:tab w:val="right" w:leader="dot" w:pos="9026"/>
            </w:tabs>
          </w:pPr>
          <w:r>
            <w:t>7. Challenges &amp; Mitigation</w:t>
          </w:r>
          <w:r>
            <w:tab/>
          </w:r>
          <w:r>
            <w:t>11</w:t>
          </w:r>
        </w:p>
        <w:p>
          <w:pPr>
            <w:pStyle w:val="11"/>
            <w:ind w:left="360"/>
            <w:tabs>
              <w:tab w:val="right" w:leader="dot" w:pos="9026"/>
            </w:tabs>
          </w:pPr>
          <w:r>
            <w:t>7.1 Licensing Complexities</w:t>
          </w:r>
          <w:r>
            <w:tab/>
          </w:r>
          <w:r>
            <w:t>11</w:t>
          </w:r>
        </w:p>
        <w:p>
          <w:pPr>
            <w:pStyle w:val="11"/>
            <w:ind w:left="360"/>
            <w:tabs>
              <w:tab w:val="right" w:leader="dot" w:pos="9026"/>
            </w:tabs>
          </w:pPr>
          <w:r>
            <w:t>7.2 Listener Retention</w:t>
          </w:r>
          <w:r>
            <w:tab/>
          </w:r>
          <w:r>
            <w:t>12</w:t>
          </w:r>
        </w:p>
        <w:p>
          <w:pPr>
            <w:pStyle w:val="11"/>
            <w:ind w:left="360"/>
            <w:tabs>
              <w:tab w:val="right" w:leader="dot" w:pos="9026"/>
            </w:tabs>
          </w:pPr>
          <w:r>
            <w:t>7.3 Server Costs at Scale</w:t>
          </w:r>
          <w:r>
            <w:tab/>
          </w:r>
          <w:r>
            <w:t>12</w:t>
          </w:r>
        </w:p>
        <w:p>
          <w:pPr>
            <w:pStyle w:val="9"/>
            <w:tabs>
              <w:tab w:val="right" w:leader="dot" w:pos="9026"/>
            </w:tabs>
          </w:pPr>
          <w:r>
            <w:t>8. Dotcompal Funnel Strategy</w:t>
          </w:r>
          <w:r>
            <w:tab/>
          </w:r>
          <w:r>
            <w:t>13</w:t>
          </w:r>
        </w:p>
        <w:p>
          <w:pPr>
            <w:pStyle w:val="11"/>
            <w:ind w:left="360"/>
            <w:tabs>
              <w:tab w:val="right" w:leader="dot" w:pos="9026"/>
            </w:tabs>
          </w:pPr>
          <w:r>
            <w:t>8.1 Funnel 1: Submit Your Music (Critical Priority)</w:t>
          </w:r>
          <w:r>
            <w:tab/>
          </w:r>
          <w:r>
            <w:t>13</w:t>
          </w:r>
        </w:p>
        <w:p>
          <w:pPr>
            <w:pStyle w:val="11"/>
            <w:ind w:left="360"/>
            <w:tabs>
              <w:tab w:val="right" w:leader="dot" w:pos="9026"/>
            </w:tabs>
          </w:pPr>
          <w:r>
            <w:t>8.2 Funnel 2: Sponsor My Station (Monetization)</w:t>
          </w:r>
          <w:r>
            <w:tab/>
          </w:r>
          <w:r>
            <w:t>14</w:t>
          </w:r>
        </w:p>
        <w:p>
          <w:pPr>
            <w:pStyle w:val="11"/>
            <w:ind w:left="360"/>
            <w:tabs>
              <w:tab w:val="right" w:leader="dot" w:pos="9026"/>
            </w:tabs>
          </w:pPr>
          <w:r>
            <w:t>8.3 Funnel 3: Super Fan / Donations (Community Funding)</w:t>
          </w:r>
          <w:r>
            <w:tab/>
          </w:r>
          <w:r>
            <w:t>14</w:t>
          </w:r>
        </w:p>
        <w:p>
          <w:pPr>
            <w:pStyle w:val="9"/>
            <w:tabs>
              <w:tab w:val="right" w:leader="dot" w:pos="9026"/>
            </w:tabs>
          </w:pPr>
          <w:r>
            <w:t>9. Platform Integration &amp; Linking Strategy</w:t>
          </w:r>
          <w:r>
            <w:tab/>
          </w:r>
          <w:r>
            <w:t>15</w:t>
          </w:r>
        </w:p>
        <w:p>
          <w:pPr>
            <w:pStyle w:val="9"/>
            <w:tabs>
              <w:tab w:val="right" w:leader="dot" w:pos="9026"/>
            </w:tabs>
          </w:pPr>
          <w:r>
            <w:t>10. Immediate Action Items</w:t>
          </w:r>
          <w:r>
            <w:tab/>
          </w:r>
          <w:r>
            <w:t>16</w:t>
          </w:r>
        </w:p>
        <w:p>
          <w:r>
            <w:fldChar w:fldCharType="end"/>
          </w:r>
        </w:p>
      </w:sdtContent>
    </w:sdt>
    <w:p>
      <w:pPr>
        <w:spacing w:after="200" w:before="200"/>
        <w:jc w:val="center"/>
      </w:pPr>
      <w:r>
        <w:rPr>
          <w:rFonts w:ascii="Calibri" w:cs="Calibri" w:eastAsia="Calibri" w:hAnsi="Calibri"/>
          <w:i/>
          <w:iCs/>
          <w:color w:val="999999"/>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pgSz w:w="11906" w:h="16838" w:orient="portrait"/>
          <w:pgMar w:top="1800" w:right="1440" w:bottom="1440" w:left="1440" w:header="708" w:footer="708" w:gutter="0"/>
          <w:pgNumType/>
          <w:docGrid w:linePitch="360"/>
        </w:sectPr>
      </w:pPr>
    </w:p>
    <w:p>
      <w:pPr>
        <w:pStyle w:val="Heading1"/>
        <w:spacing w:after="300" w:before="600"/>
      </w:pPr>
      <w:r>
        <w:rPr>
          <w:rFonts w:ascii="Times New Roman" w:cs="Times New Roman" w:eastAsia="Times New Roman" w:hAnsi="Times New Roman"/>
          <w:b/>
          <w:bCs/>
          <w:color w:val="020617"/>
          <w:sz w:val="36"/>
          <w:szCs w:val="36"/>
        </w:rPr>
        <w:t xml:space="preserve">1. The Problem We Solve</w:t>
      </w:r>
    </w:p>
    <w:p>
      <w:pPr>
        <w:spacing w:after="100" w:before="100"/>
      </w:pPr>
      <w:r>
        <w:rPr>
          <w:rFonts w:ascii="Calibri" w:cs="Calibri" w:eastAsia="Calibri" w:hAnsi="Calibri"/>
          <w:color w:val="94A3B8"/>
          <w:sz w:val="14"/>
          <w:szCs w:val="14"/>
        </w:rPr>
        <w:t xml:space="preserve">━━━━━━━━━━━━━━━━━━━━━━━━━━━━━━━━━━━━━━━━━━━</w:t>
      </w:r>
    </w:p>
    <w:p>
      <w:pPr>
        <w:spacing w:after="160" w:line="250"/>
        <w:jc w:val="left"/>
      </w:pPr>
      <w:r>
        <w:rPr>
          <w:rFonts w:ascii="Calibri" w:cs="Calibri" w:eastAsia="Calibri" w:hAnsi="Calibri"/>
          <w:color w:val="1E293B"/>
          <w:sz w:val="22"/>
          <w:szCs w:val="22"/>
        </w:rPr>
        <w:t xml:space="preserve">While streaming giants like Spotify, Apple Music, and YouTube Music have undeniably democratized access to music on a global scale, their algorithm-driven recommendation engines are inherently biased toward mainstream content with established listening patterns. This structural reality creates a significant blind spot for niche genres, particularly 90s OPM Alternative Rock and emerging independent Filipino artists who lack the marketing budgets and label infrastructure necessary to game these algorithms. As a result, an entire ecosystem of culturally significant music remains buried beneath layers of algorithmically promoted content, effectively invisible to the very audiences who would most appreciate it.</w:t>
      </w:r>
    </w:p>
    <w:p>
      <w:pPr>
        <w:spacing w:after="160" w:line="250"/>
        <w:jc w:val="left"/>
      </w:pPr>
      <w:r>
        <w:rPr>
          <w:rFonts w:ascii="Calibri" w:cs="Calibri" w:eastAsia="Calibri" w:hAnsi="Calibri"/>
          <w:color w:val="1E293B"/>
          <w:sz w:val="22"/>
          <w:szCs w:val="22"/>
        </w:rPr>
        <w:t xml:space="preserve">The consequences of this algorithmic marginalization extend beyond mere discoverability challenges. Music piracy persists at alarming rates in the Philippines and across the global Filipino diaspora because fans often feel a deep emotional disconnect from the artists and the music they love. When listeners cannot find curated, accessible platforms that celebrate local music authentically, they resort to illegal downloading and sharing as a form of cultural preservation, not merely as a cost-saving measure. This creates a vicious cycle: piracy undermines artist revenue, which discourages new music production, which further diminishes the already limited catalog of Filipino music available on mainstream platforms.</w:t>
      </w:r>
    </w:p>
    <w:p>
      <w:pPr>
        <w:spacing w:after="160" w:line="250"/>
        <w:jc w:val="left"/>
      </w:pPr>
      <w:r>
        <w:rPr>
          <w:rFonts w:ascii="Calibri" w:cs="Calibri" w:eastAsia="Calibri" w:hAnsi="Calibri"/>
          <w:color w:val="1E293B"/>
          <w:sz w:val="22"/>
          <w:szCs w:val="22"/>
        </w:rPr>
        <w:t xml:space="preserve">Tunog Kalye Radio addresses this systemic gap by creating a purpose-built, globally accessible digital broadcast hub that does not rely on algorithms to determine what deserves to be heard. Instead, we champion human curation, community trust, and direct artist-listener connections as the foundational principles of our platform. We exist to ensure that the golden era of Pinoy Rock is not forgotten and that the next generation of independent Filipino artists has a stage from which to launch their careers.</w:t>
      </w:r>
    </w:p>
    <w:p>
      <w:pPr>
        <w:spacing w:after="0" w:before="200"/>
      </w:pPr>
      <w:r>
        <w:t xml:space="preserve"/>
      </w:r>
    </w:p>
    <w:p>
      <w:pPr>
        <w:pStyle w:val="Heading1"/>
        <w:spacing w:after="300" w:before="600"/>
      </w:pPr>
      <w:r>
        <w:rPr>
          <w:rFonts w:ascii="Times New Roman" w:cs="Times New Roman" w:eastAsia="Times New Roman" w:hAnsi="Times New Roman"/>
          <w:b/>
          <w:bCs/>
          <w:color w:val="020617"/>
          <w:sz w:val="36"/>
          <w:szCs w:val="36"/>
        </w:rPr>
        <w:t xml:space="preserve">2. Our Mission &amp; Vision</w:t>
      </w:r>
    </w:p>
    <w:p>
      <w:pPr>
        <w:spacing w:after="100" w:before="100"/>
      </w:pPr>
      <w:r>
        <w:rPr>
          <w:rFonts w:ascii="Calibri" w:cs="Calibri" w:eastAsia="Calibri" w:hAnsi="Calibri"/>
          <w:color w:val="94A3B8"/>
          <w:sz w:val="14"/>
          <w:szCs w:val="14"/>
        </w:rPr>
        <w:t xml:space="preserve">━━━━━━━━━━━━━━━━━━━━━━━━━━━━━━━━━━━━━━━━━━━</w:t>
      </w:r>
    </w:p>
    <w:p>
      <w:pPr>
        <w:pStyle w:val="Heading2"/>
        <w:spacing w:after="200" w:before="300"/>
      </w:pPr>
      <w:r>
        <w:rPr>
          <w:rFonts w:ascii="Times New Roman" w:cs="Times New Roman" w:eastAsia="Times New Roman" w:hAnsi="Times New Roman"/>
          <w:b/>
          <w:bCs/>
          <w:color w:val="020617"/>
          <w:sz w:val="28"/>
          <w:szCs w:val="28"/>
        </w:rPr>
        <w:t xml:space="preserve">2.1 Our Mission</w:t>
      </w:r>
    </w:p>
    <w:p>
      <w:pPr>
        <w:spacing w:after="160" w:line="250"/>
        <w:jc w:val="left"/>
      </w:pPr>
      <w:r>
        <w:rPr>
          <w:rFonts w:ascii="Calibri" w:cs="Calibri" w:eastAsia="Calibri" w:hAnsi="Calibri"/>
          <w:color w:val="1E293B"/>
          <w:sz w:val="22"/>
          <w:szCs w:val="22"/>
        </w:rPr>
        <w:t xml:space="preserve">To provide a globally accessible, 24/7 digital broadcast hub that bridges the golden era of 90s Pinoy Rock with the modern indie movement. We connect Filipino artists directly with a highly targeted, passionate audience, providing a platform where music is celebrated, not just consumed. Our mission is rooted in the belief that Filipino music deserves dedicated infrastructure, not algorithmic afterthoughts, and that every independent artist should have access to a professional-grade broadcasting platform regardless of their label status or marketing budget.</w:t>
      </w:r>
    </w:p>
    <w:p>
      <w:pPr>
        <w:pStyle w:val="Heading2"/>
        <w:spacing w:after="200" w:before="300"/>
      </w:pPr>
      <w:r>
        <w:rPr>
          <w:rFonts w:ascii="Times New Roman" w:cs="Times New Roman" w:eastAsia="Times New Roman" w:hAnsi="Times New Roman"/>
          <w:b/>
          <w:bCs/>
          <w:color w:val="020617"/>
          <w:sz w:val="28"/>
          <w:szCs w:val="28"/>
        </w:rPr>
        <w:t xml:space="preserve">2.2 Our Vision</w:t>
      </w:r>
    </w:p>
    <w:p>
      <w:pPr>
        <w:spacing w:after="160" w:line="250"/>
        <w:jc w:val="left"/>
      </w:pPr>
      <w:r>
        <w:rPr>
          <w:rFonts w:ascii="Calibri" w:cs="Calibri" w:eastAsia="Calibri" w:hAnsi="Calibri"/>
          <w:color w:val="1E293B"/>
          <w:sz w:val="22"/>
          <w:szCs w:val="22"/>
        </w:rPr>
        <w:t xml:space="preserve">To be the premier grassroots broadcasting network for Filipino independent music globally, starting with the Filipino diaspora in Surrey, BC, and expanding back to the Philippines. We aim to fundamentally shift listener behavior from illegal downloading to active community participation by creating an ecosystem where fans feel ownership, pride, and emotional investment in the platform. Our long-term vision encompasses becoming the definitive gateway for discovering Filipino music worldwide, serving as both a cultural archive and a launchpad for new talent.</w:t>
      </w:r>
    </w:p>
    <w:p>
      <w:pPr>
        <w:spacing w:after="0" w:before="200"/>
      </w:pPr>
      <w:r>
        <w:t xml:space="preserve"/>
      </w:r>
    </w:p>
    <w:p>
      <w:pPr>
        <w:pStyle w:val="Heading1"/>
        <w:spacing w:after="300" w:before="600"/>
      </w:pPr>
      <w:r>
        <w:rPr>
          <w:rFonts w:ascii="Times New Roman" w:cs="Times New Roman" w:eastAsia="Times New Roman" w:hAnsi="Times New Roman"/>
          <w:b/>
          <w:bCs/>
          <w:color w:val="020617"/>
          <w:sz w:val="36"/>
          <w:szCs w:val="36"/>
        </w:rPr>
        <w:t xml:space="preserve">3. Core Infrastructure: The "Kanto" Tech Stack</w:t>
      </w:r>
    </w:p>
    <w:p>
      <w:pPr>
        <w:spacing w:after="100" w:before="100"/>
      </w:pPr>
      <w:r>
        <w:rPr>
          <w:rFonts w:ascii="Calibri" w:cs="Calibri" w:eastAsia="Calibri" w:hAnsi="Calibri"/>
          <w:color w:val="94A3B8"/>
          <w:sz w:val="14"/>
          <w:szCs w:val="14"/>
        </w:rPr>
        <w:t xml:space="preserve">━━━━━━━━━━━━━━━━━━━━━━━━━━━━━━━━━━━━━━━━━━━</w:t>
      </w:r>
    </w:p>
    <w:p>
      <w:pPr>
        <w:spacing w:after="160" w:line="250"/>
        <w:jc w:val="left"/>
      </w:pPr>
      <w:r>
        <w:rPr>
          <w:rFonts w:ascii="Calibri" w:cs="Calibri" w:eastAsia="Calibri" w:hAnsi="Calibri"/>
          <w:color w:val="1E293B"/>
          <w:sz w:val="22"/>
          <w:szCs w:val="22"/>
        </w:rPr>
        <w:t xml:space="preserve">Instead of building fragmented, proprietary applications that require ongoing development resources, Tunog Kalye Radio leverages enterprise-grade, open-source infrastructure to create a seamless, scalable broadcasting experience. This approach minimizes technical debt, maximizes reliability, and allows our team to focus on content curation and community building rather than software maintenance. Each component of our tech stack was selected for its proven track record, active developer community, and ability to integrate with the others through standardized APIs and webhook protocols.</w:t>
      </w:r>
    </w:p>
    <w:p>
      <w:pPr>
        <w:spacing w:after="0" w:before="100"/>
      </w:pPr>
      <w:r>
        <w:t xml:space="preserve"/>
      </w:r>
    </w:p>
    <w:p>
      <w:pPr>
        <w:pStyle w:val="Heading2"/>
        <w:spacing w:after="200" w:before="300"/>
      </w:pPr>
      <w:r>
        <w:rPr>
          <w:rFonts w:ascii="Times New Roman" w:cs="Times New Roman" w:eastAsia="Times New Roman" w:hAnsi="Times New Roman"/>
          <w:b/>
          <w:bCs/>
          <w:color w:val="020617"/>
          <w:sz w:val="28"/>
          <w:szCs w:val="28"/>
        </w:rPr>
        <w:t xml:space="preserve">3.1 AzuraCast: The Broadcast Engine</w:t>
      </w:r>
    </w:p>
    <w:p>
      <w:pPr>
        <w:spacing w:after="160" w:line="250"/>
        <w:jc w:val="left"/>
      </w:pPr>
      <w:r>
        <w:rPr>
          <w:rFonts w:ascii="Calibri" w:cs="Calibri" w:eastAsia="Calibri" w:hAnsi="Calibri"/>
          <w:color w:val="1E293B"/>
          <w:sz w:val="22"/>
          <w:szCs w:val="22"/>
        </w:rPr>
        <w:t xml:space="preserve">AzuraCast serves as the beating heart of Tunog Kalye Radio. As the most widely adopted open-source internet radio management suite in the world, it provides us with a production-proven foundation for 24/7 automated broadcasting, live DJ talk shows, podcast hosting, and comprehensive media library management. Our AzuraCast instance is hosted on scalable Oracle Cloud infrastructure, which provides generous free-tier resources that can handle thousands of concurrent listeners, with the ability to scale vertically as our audience grows.</w:t>
      </w:r>
    </w:p>
    <w:p>
      <w:pPr>
        <w:pStyle w:val="ListParagraph"/>
        <w:numPr>
          <w:ilvl w:val="0"/>
          <w:numId w:val="2"/>
        </w:numPr>
        <w:spacing w:after="100" w:line="250"/>
      </w:pPr>
      <w:r>
        <w:rPr>
          <w:rFonts w:ascii="Calibri" w:cs="Calibri" w:eastAsia="Calibri" w:hAnsi="Calibri"/>
          <w:color w:val="1E293B"/>
          <w:sz w:val="22"/>
          <w:szCs w:val="22"/>
        </w:rPr>
        <w:t xml:space="preserve">24/7 automated broadcasting with intelligent playlist scheduling and crossfade management</w:t>
      </w:r>
    </w:p>
    <w:p>
      <w:pPr>
        <w:pStyle w:val="ListParagraph"/>
        <w:numPr>
          <w:ilvl w:val="0"/>
          <w:numId w:val="2"/>
        </w:numPr>
        <w:spacing w:after="100" w:line="250"/>
      </w:pPr>
      <w:r>
        <w:rPr>
          <w:rFonts w:ascii="Calibri" w:cs="Calibri" w:eastAsia="Calibri" w:hAnsi="Calibri"/>
          <w:color w:val="1E293B"/>
          <w:sz w:val="22"/>
          <w:szCs w:val="22"/>
        </w:rPr>
        <w:t xml:space="preserve">Live DJ integration for real-time talk shows, interviews, and interactive request programs</w:t>
      </w:r>
    </w:p>
    <w:p>
      <w:pPr>
        <w:pStyle w:val="ListParagraph"/>
        <w:numPr>
          <w:ilvl w:val="0"/>
          <w:numId w:val="2"/>
        </w:numPr>
        <w:spacing w:after="100" w:line="250"/>
      </w:pPr>
      <w:r>
        <w:rPr>
          <w:rFonts w:ascii="Calibri" w:cs="Calibri" w:eastAsia="Calibri" w:hAnsi="Calibri"/>
          <w:color w:val="1E293B"/>
          <w:sz w:val="22"/>
          <w:szCs w:val="22"/>
        </w:rPr>
        <w:t xml:space="preserve">Podcast hosting and RSS feed generation for on-demand content distribution</w:t>
      </w:r>
    </w:p>
    <w:p>
      <w:pPr>
        <w:pStyle w:val="ListParagraph"/>
        <w:numPr>
          <w:ilvl w:val="0"/>
          <w:numId w:val="2"/>
        </w:numPr>
        <w:spacing w:after="100" w:line="250"/>
      </w:pPr>
      <w:r>
        <w:rPr>
          <w:rFonts w:ascii="Calibri" w:cs="Calibri" w:eastAsia="Calibri" w:hAnsi="Calibri"/>
          <w:color w:val="1E293B"/>
          <w:sz w:val="22"/>
          <w:szCs w:val="22"/>
        </w:rPr>
        <w:t xml:space="preserve">Webhook integrations for real-time "Now Playing" data feeds to our website and social media channels</w:t>
      </w:r>
    </w:p>
    <w:p>
      <w:pPr>
        <w:pStyle w:val="ListParagraph"/>
        <w:numPr>
          <w:ilvl w:val="0"/>
          <w:numId w:val="2"/>
        </w:numPr>
        <w:spacing w:after="100" w:line="250"/>
      </w:pPr>
      <w:r>
        <w:rPr>
          <w:rFonts w:ascii="Calibri" w:cs="Calibri" w:eastAsia="Calibri" w:hAnsi="Calibri"/>
          <w:color w:val="1E293B"/>
          <w:sz w:val="22"/>
          <w:szCs w:val="22"/>
        </w:rPr>
        <w:t xml:space="preserve">Global CDN delivery via Cloudflare, ensuring low-latency streaming to listeners worldwide regardless of geographic location</w:t>
      </w:r>
    </w:p>
    <w:p>
      <w:pPr>
        <w:spacing w:after="0" w:before="100"/>
      </w:pPr>
      <w:r>
        <w:t xml:space="preserve"/>
      </w:r>
    </w:p>
    <w:p>
      <w:pPr>
        <w:pStyle w:val="Heading2"/>
        <w:spacing w:after="200" w:before="300"/>
      </w:pPr>
      <w:r>
        <w:rPr>
          <w:rFonts w:ascii="Times New Roman" w:cs="Times New Roman" w:eastAsia="Times New Roman" w:hAnsi="Times New Roman"/>
          <w:b/>
          <w:bCs/>
          <w:color w:val="020617"/>
          <w:sz w:val="28"/>
          <w:szCs w:val="28"/>
        </w:rPr>
        <w:t xml:space="preserve">3.2 Dotcompal Funnels: The Artist &amp; Revenue Hub</w:t>
      </w:r>
    </w:p>
    <w:p>
      <w:pPr>
        <w:spacing w:after="160" w:line="250"/>
        <w:jc w:val="left"/>
      </w:pPr>
      <w:r>
        <w:rPr>
          <w:rFonts w:ascii="Calibri" w:cs="Calibri" w:eastAsia="Calibri" w:hAnsi="Calibri"/>
          <w:color w:val="1E293B"/>
          <w:sz w:val="22"/>
          <w:szCs w:val="22"/>
        </w:rPr>
        <w:t xml:space="preserve">Dotcompal replaces the need for a custom-built subscription or artist management application. This powerful funnel-building platform serves as the business engine behind Tunog Kalye Radio, handling everything from artist onboarding to sponsor acquisition to fan donations. By using a proven funnel framework rather than building custom web applications from scratch, we dramatically reduce development costs while gaining access to sophisticated conversion optimization tools that would take years to build in-house.</w:t>
      </w:r>
    </w:p>
    <w:p>
      <w:pPr>
        <w:pStyle w:val="ListParagraph"/>
        <w:numPr>
          <w:ilvl w:val="0"/>
          <w:numId w:val="2"/>
        </w:numPr>
        <w:spacing w:after="100" w:line="250"/>
      </w:pPr>
      <w:r>
        <w:rPr>
          <w:rFonts w:ascii="Calibri" w:cs="Calibri" w:eastAsia="Calibri" w:hAnsi="Calibri"/>
          <w:color w:val="1E293B"/>
          <w:sz w:val="22"/>
          <w:szCs w:val="22"/>
        </w:rPr>
        <w:t xml:space="preserve">Hosts our "Submit Your Music" portals with automated email follow-up sequences</w:t>
      </w:r>
    </w:p>
    <w:p>
      <w:pPr>
        <w:pStyle w:val="ListParagraph"/>
        <w:numPr>
          <w:ilvl w:val="0"/>
          <w:numId w:val="2"/>
        </w:numPr>
        <w:spacing w:after="100" w:line="250"/>
      </w:pPr>
      <w:r>
        <w:rPr>
          <w:rFonts w:ascii="Calibri" w:cs="Calibri" w:eastAsia="Calibri" w:hAnsi="Calibri"/>
          <w:color w:val="1E293B"/>
          <w:sz w:val="22"/>
          <w:szCs w:val="22"/>
        </w:rPr>
        <w:t xml:space="preserve">Artist onboarding funnels that collect essential metadata and build our talent database</w:t>
      </w:r>
    </w:p>
    <w:p>
      <w:pPr>
        <w:pStyle w:val="ListParagraph"/>
        <w:numPr>
          <w:ilvl w:val="0"/>
          <w:numId w:val="2"/>
        </w:numPr>
        <w:spacing w:after="100" w:line="250"/>
      </w:pPr>
      <w:r>
        <w:rPr>
          <w:rFonts w:ascii="Calibri" w:cs="Calibri" w:eastAsia="Calibri" w:hAnsi="Calibri"/>
          <w:color w:val="1E293B"/>
          <w:sz w:val="22"/>
          <w:szCs w:val="22"/>
        </w:rPr>
        <w:t xml:space="preserve">Merchandise storefronts and direct-to-fan tipping integrations (zero commission model)</w:t>
      </w:r>
    </w:p>
    <w:p>
      <w:pPr>
        <w:pStyle w:val="ListParagraph"/>
        <w:numPr>
          <w:ilvl w:val="0"/>
          <w:numId w:val="2"/>
        </w:numPr>
        <w:spacing w:after="100" w:line="250"/>
      </w:pPr>
      <w:r>
        <w:rPr>
          <w:rFonts w:ascii="Calibri" w:cs="Calibri" w:eastAsia="Calibri" w:hAnsi="Calibri"/>
          <w:color w:val="1E293B"/>
          <w:sz w:val="22"/>
          <w:szCs w:val="22"/>
        </w:rPr>
        <w:t xml:space="preserve">Sponsor pitch pages with integrated pricing, stats displays, and Stripe/PayPal checkout</w:t>
      </w:r>
    </w:p>
    <w:p>
      <w:pPr>
        <w:pStyle w:val="ListParagraph"/>
        <w:numPr>
          <w:ilvl w:val="0"/>
          <w:numId w:val="2"/>
        </w:numPr>
        <w:spacing w:after="100" w:line="250"/>
      </w:pPr>
      <w:r>
        <w:rPr>
          <w:rFonts w:ascii="Calibri" w:cs="Calibri" w:eastAsia="Calibri" w:hAnsi="Calibri"/>
          <w:color w:val="1E293B"/>
          <w:sz w:val="22"/>
          <w:szCs w:val="22"/>
        </w:rPr>
        <w:t xml:space="preserve">Super Fan donation funnels with multiple giving tiers and social sharing triggers</w:t>
      </w:r>
    </w:p>
    <w:p>
      <w:pPr>
        <w:spacing w:after="0" w:before="100"/>
      </w:pPr>
      <w:r>
        <w:t xml:space="preserve"/>
      </w:r>
    </w:p>
    <w:p>
      <w:pPr>
        <w:pStyle w:val="Heading2"/>
        <w:spacing w:after="200" w:before="300"/>
      </w:pPr>
      <w:r>
        <w:rPr>
          <w:rFonts w:ascii="Times New Roman" w:cs="Times New Roman" w:eastAsia="Times New Roman" w:hAnsi="Times New Roman"/>
          <w:b/>
          <w:bCs/>
          <w:color w:val="020617"/>
          <w:sz w:val="28"/>
          <w:szCs w:val="28"/>
        </w:rPr>
        <w:t xml:space="preserve">3.3 Mixxx Integration: The Live Experience</w:t>
      </w:r>
    </w:p>
    <w:p>
      <w:pPr>
        <w:spacing w:after="160" w:line="250"/>
        <w:jc w:val="left"/>
      </w:pPr>
      <w:r>
        <w:rPr>
          <w:rFonts w:ascii="Calibri" w:cs="Calibri" w:eastAsia="Calibri" w:hAnsi="Calibri"/>
          <w:color w:val="1E293B"/>
          <w:sz w:val="22"/>
          <w:szCs w:val="22"/>
        </w:rPr>
        <w:t xml:space="preserve">Mixxx is our professional-grade live broadcasting software that transforms Tunog Kalye from a passive streaming station into an interactive live experience. This open-source DJ platform supports high-quality live remote broadcasts, real-time interviews, and interactive request shows that blur the line between a traditional radio station and a modern podcast. Mixxx integrates directly with our AzuraCast instance via the Icecast protocol, enabling seamless transitions between automated and live content.</w:t>
      </w:r>
    </w:p>
    <w:p>
      <w:pPr>
        <w:pStyle w:val="ListParagraph"/>
        <w:numPr>
          <w:ilvl w:val="0"/>
          <w:numId w:val="2"/>
        </w:numPr>
        <w:spacing w:after="100" w:line="250"/>
      </w:pPr>
      <w:r>
        <w:rPr>
          <w:rFonts w:ascii="Calibri" w:cs="Calibri" w:eastAsia="Calibri" w:hAnsi="Calibri"/>
          <w:color w:val="1E293B"/>
          <w:sz w:val="22"/>
          <w:szCs w:val="22"/>
        </w:rPr>
        <w:t xml:space="preserve">Professional-grade audio mixing with real-time effects processing and broadcasting</w:t>
      </w:r>
    </w:p>
    <w:p>
      <w:pPr>
        <w:pStyle w:val="ListParagraph"/>
        <w:numPr>
          <w:ilvl w:val="0"/>
          <w:numId w:val="2"/>
        </w:numPr>
        <w:spacing w:after="100" w:line="250"/>
      </w:pPr>
      <w:r>
        <w:rPr>
          <w:rFonts w:ascii="Calibri" w:cs="Calibri" w:eastAsia="Calibri" w:hAnsi="Calibri"/>
          <w:color w:val="1E293B"/>
          <w:sz w:val="22"/>
          <w:szCs w:val="22"/>
        </w:rPr>
        <w:t xml:space="preserve">Live remote broadcasting capability from any location with internet connectivity</w:t>
      </w:r>
    </w:p>
    <w:p>
      <w:pPr>
        <w:pStyle w:val="ListParagraph"/>
        <w:numPr>
          <w:ilvl w:val="0"/>
          <w:numId w:val="2"/>
        </w:numPr>
        <w:spacing w:after="100" w:line="250"/>
      </w:pPr>
      <w:r>
        <w:rPr>
          <w:rFonts w:ascii="Calibri" w:cs="Calibri" w:eastAsia="Calibri" w:hAnsi="Calibri"/>
          <w:color w:val="1E293B"/>
          <w:sz w:val="22"/>
          <w:szCs w:val="22"/>
        </w:rPr>
        <w:t xml:space="preserve">Interactive request show management with real-time listener engagement tools</w:t>
      </w:r>
    </w:p>
    <w:p>
      <w:pPr>
        <w:pStyle w:val="ListParagraph"/>
        <w:numPr>
          <w:ilvl w:val="0"/>
          <w:numId w:val="2"/>
        </w:numPr>
        <w:spacing w:after="100" w:line="250"/>
      </w:pPr>
      <w:r>
        <w:rPr>
          <w:rFonts w:ascii="Calibri" w:cs="Calibri" w:eastAsia="Calibri" w:hAnsi="Calibri"/>
          <w:color w:val="1E293B"/>
          <w:sz w:val="22"/>
          <w:szCs w:val="22"/>
        </w:rPr>
        <w:t xml:space="preserve">Screen recording capability for creating video content from live broadcasts</w:t>
      </w:r>
    </w:p>
    <w:p>
      <w:pPr>
        <w:spacing w:after="0" w:before="20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2000"/>
        <w:gridCol w:w="2000"/>
        <w:gridCol w:w="2680"/>
        <w:gridCol w:w="2680"/>
      </w:tblGrid>
      <w:tr>
        <w:trPr>
          <w:tblHeader/>
        </w:trPr>
        <w:tc>
          <w:tcPr>
            <w:tcW w:type="dxa" w:w="2000"/>
            <w:tcBorders>
              <w:top w:val="single" w:color="020617" w:sz="12"/>
              <w:left w:val="none" w:color="FFFFFF" w:sz="0"/>
              <w:bottom w:val="single" w:color="020617" w:sz="12"/>
              <w:right w:val="none" w:color="FFFFFF" w:sz="0"/>
            </w:tcBorders>
            <w:shd w:fill="0F172A" w:val="clear"/>
            <w:vAlign w:val="center"/>
          </w:tcPr>
          <w:p>
            <w:pPr>
              <w:jc w:val="center"/>
            </w:pPr>
            <w:r>
              <w:rPr>
                <w:rFonts w:ascii="Calibri" w:cs="Calibri" w:eastAsia="Calibri" w:hAnsi="Calibri"/>
                <w:b/>
                <w:bCs/>
                <w:color w:val="FFFFFF"/>
                <w:sz w:val="20"/>
                <w:szCs w:val="20"/>
              </w:rPr>
              <w:t xml:space="preserve">Component</w:t>
            </w:r>
          </w:p>
        </w:tc>
        <w:tc>
          <w:tcPr>
            <w:tcW w:type="dxa" w:w="2000"/>
            <w:tcBorders>
              <w:top w:val="single" w:color="020617" w:sz="12"/>
              <w:left w:val="none" w:color="FFFFFF" w:sz="0"/>
              <w:bottom w:val="single" w:color="020617" w:sz="12"/>
              <w:right w:val="none" w:color="FFFFFF" w:sz="0"/>
            </w:tcBorders>
            <w:shd w:fill="0F172A" w:val="clear"/>
            <w:vAlign w:val="center"/>
          </w:tcPr>
          <w:p>
            <w:pPr>
              <w:jc w:val="center"/>
            </w:pPr>
            <w:r>
              <w:rPr>
                <w:rFonts w:ascii="Calibri" w:cs="Calibri" w:eastAsia="Calibri" w:hAnsi="Calibri"/>
                <w:b/>
                <w:bCs/>
                <w:color w:val="FFFFFF"/>
                <w:sz w:val="20"/>
                <w:szCs w:val="20"/>
              </w:rPr>
              <w:t xml:space="preserve">Platform</w:t>
            </w:r>
          </w:p>
        </w:tc>
        <w:tc>
          <w:tcPr>
            <w:tcW w:type="dxa" w:w="2680"/>
            <w:tcBorders>
              <w:top w:val="single" w:color="020617" w:sz="12"/>
              <w:left w:val="none" w:color="FFFFFF" w:sz="0"/>
              <w:bottom w:val="single" w:color="020617" w:sz="12"/>
              <w:right w:val="none" w:color="FFFFFF" w:sz="0"/>
            </w:tcBorders>
            <w:shd w:fill="0F172A" w:val="clear"/>
            <w:vAlign w:val="center"/>
          </w:tcPr>
          <w:p>
            <w:pPr>
              <w:jc w:val="center"/>
            </w:pPr>
            <w:r>
              <w:rPr>
                <w:rFonts w:ascii="Calibri" w:cs="Calibri" w:eastAsia="Calibri" w:hAnsi="Calibri"/>
                <w:b/>
                <w:bCs/>
                <w:color w:val="FFFFFF"/>
                <w:sz w:val="20"/>
                <w:szCs w:val="20"/>
              </w:rPr>
              <w:t xml:space="preserve">Primary Role</w:t>
            </w:r>
          </w:p>
        </w:tc>
        <w:tc>
          <w:tcPr>
            <w:tcW w:type="dxa" w:w="2680"/>
            <w:tcBorders>
              <w:top w:val="single" w:color="020617" w:sz="12"/>
              <w:left w:val="none" w:color="FFFFFF" w:sz="0"/>
              <w:bottom w:val="single" w:color="020617" w:sz="12"/>
              <w:right w:val="none" w:color="FFFFFF" w:sz="0"/>
            </w:tcBorders>
            <w:shd w:fill="0F172A" w:val="clear"/>
            <w:vAlign w:val="center"/>
          </w:tcPr>
          <w:p>
            <w:pPr>
              <w:jc w:val="center"/>
            </w:pPr>
            <w:r>
              <w:rPr>
                <w:rFonts w:ascii="Calibri" w:cs="Calibri" w:eastAsia="Calibri" w:hAnsi="Calibri"/>
                <w:b/>
                <w:bCs/>
                <w:color w:val="FFFFFF"/>
                <w:sz w:val="20"/>
                <w:szCs w:val="20"/>
              </w:rPr>
              <w:t xml:space="preserve">Key Benefit</w:t>
            </w:r>
          </w:p>
        </w:tc>
      </w:tr>
      <w:tr>
        <w:tc>
          <w:tcPr>
            <w:tcW w:type="dxa" w:w="20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Broadcast Engine</w:t>
            </w:r>
          </w:p>
        </w:tc>
        <w:tc>
          <w:tcPr>
            <w:tcW w:type="dxa" w:w="20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AzuraCast</w:t>
            </w:r>
          </w:p>
        </w:tc>
        <w:tc>
          <w:tcPr>
            <w:tcW w:type="dxa" w:w="26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24/7 streaming &amp; automation</w:t>
            </w:r>
          </w:p>
        </w:tc>
        <w:tc>
          <w:tcPr>
            <w:tcW w:type="dxa" w:w="26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Enterprise-grade reliability on free-tier cloud</w:t>
            </w:r>
          </w:p>
        </w:tc>
      </w:tr>
      <w:tr>
        <w:tc>
          <w:tcPr>
            <w:tcW w:type="dxa" w:w="20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Revenue &amp; Funnels</w:t>
            </w:r>
          </w:p>
        </w:tc>
        <w:tc>
          <w:tcPr>
            <w:tcW w:type="dxa" w:w="20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Dotcompal</w:t>
            </w:r>
          </w:p>
        </w:tc>
        <w:tc>
          <w:tcPr>
            <w:tcW w:type="dxa" w:w="26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Artist onboarding &amp; monetization</w:t>
            </w:r>
          </w:p>
        </w:tc>
        <w:tc>
          <w:tcPr>
            <w:tcW w:type="dxa" w:w="26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Zero commission, conversion-optimized</w:t>
            </w:r>
          </w:p>
        </w:tc>
      </w:tr>
      <w:tr>
        <w:tc>
          <w:tcPr>
            <w:tcW w:type="dxa" w:w="20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Live Broadcasting</w:t>
            </w:r>
          </w:p>
        </w:tc>
        <w:tc>
          <w:tcPr>
            <w:tcW w:type="dxa" w:w="20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Mixxx</w:t>
            </w:r>
          </w:p>
        </w:tc>
        <w:tc>
          <w:tcPr>
            <w:tcW w:type="dxa" w:w="26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Real-time DJ shows &amp; interviews</w:t>
            </w:r>
          </w:p>
        </w:tc>
        <w:tc>
          <w:tcPr>
            <w:tcW w:type="dxa" w:w="26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Professional quality, fully open-source</w:t>
            </w:r>
          </w:p>
        </w:tc>
      </w:tr>
      <w:tr>
        <w:tc>
          <w:tcPr>
            <w:tcW w:type="dxa" w:w="20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Cloud Hosting</w:t>
            </w:r>
          </w:p>
        </w:tc>
        <w:tc>
          <w:tcPr>
            <w:tcW w:type="dxa" w:w="20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Oracle Cloud</w:t>
            </w:r>
          </w:p>
        </w:tc>
        <w:tc>
          <w:tcPr>
            <w:tcW w:type="dxa" w:w="26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Infrastructure &amp; scalability</w:t>
            </w:r>
          </w:p>
        </w:tc>
        <w:tc>
          <w:tcPr>
            <w:tcW w:type="dxa" w:w="26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Free tier supports thousands of listeners</w:t>
            </w:r>
          </w:p>
        </w:tc>
      </w:tr>
      <w:tr>
        <w:tc>
          <w:tcPr>
            <w:tcW w:type="dxa" w:w="20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CDN &amp; Security</w:t>
            </w:r>
          </w:p>
        </w:tc>
        <w:tc>
          <w:tcPr>
            <w:tcW w:type="dxa" w:w="20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Cloudflare</w:t>
            </w:r>
          </w:p>
        </w:tc>
        <w:tc>
          <w:tcPr>
            <w:tcW w:type="dxa" w:w="26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Global content delivery</w:t>
            </w:r>
          </w:p>
        </w:tc>
        <w:tc>
          <w:tcPr>
            <w:tcW w:type="dxa" w:w="26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Low-latency streaming worldwide</w:t>
            </w:r>
          </w:p>
        </w:tc>
      </w:tr>
    </w:tbl>
    <w:p>
      <w:pPr>
        <w:spacing w:after="200" w:before="60"/>
        <w:jc w:val="center"/>
      </w:pPr>
      <w:r>
        <w:rPr>
          <w:rFonts w:ascii="Calibri" w:cs="Calibri" w:eastAsia="Calibri" w:hAnsi="Calibri"/>
          <w:i/>
          <w:iCs/>
          <w:color w:val="64748B"/>
          <w:sz w:val="18"/>
          <w:szCs w:val="18"/>
        </w:rPr>
        <w:t xml:space="preserve">Table 1: The Kanto Tech Stack Overview</w:t>
      </w:r>
    </w:p>
    <w:p>
      <w:pPr>
        <w:spacing w:after="0" w:before="200"/>
      </w:pPr>
      <w:r>
        <w:t xml:space="preserve"/>
      </w:r>
    </w:p>
    <w:p>
      <w:pPr>
        <w:pStyle w:val="Heading1"/>
        <w:spacing w:after="300" w:before="600"/>
      </w:pPr>
      <w:r>
        <w:rPr>
          <w:rFonts w:ascii="Times New Roman" w:cs="Times New Roman" w:eastAsia="Times New Roman" w:hAnsi="Times New Roman"/>
          <w:b/>
          <w:bCs/>
          <w:color w:val="020617"/>
          <w:sz w:val="36"/>
          <w:szCs w:val="36"/>
        </w:rPr>
        <w:t xml:space="preserve">4. The "Support-The-Artist" Business Model</w:t>
      </w:r>
    </w:p>
    <w:p>
      <w:pPr>
        <w:spacing w:after="100" w:before="100"/>
      </w:pPr>
      <w:r>
        <w:rPr>
          <w:rFonts w:ascii="Calibri" w:cs="Calibri" w:eastAsia="Calibri" w:hAnsi="Calibri"/>
          <w:color w:val="94A3B8"/>
          <w:sz w:val="14"/>
          <w:szCs w:val="14"/>
        </w:rPr>
        <w:t xml:space="preserve">━━━━━━━━━━━━━━━━━━━━━━━━━━━━━━━━━━━━━━━━━━━</w:t>
      </w:r>
    </w:p>
    <w:p>
      <w:pPr>
        <w:spacing w:after="160" w:line="250"/>
        <w:jc w:val="left"/>
      </w:pPr>
      <w:r>
        <w:rPr>
          <w:rFonts w:ascii="Calibri" w:cs="Calibri" w:eastAsia="Calibri" w:hAnsi="Calibri"/>
          <w:color w:val="1E293B"/>
          <w:sz w:val="22"/>
          <w:szCs w:val="22"/>
        </w:rPr>
        <w:t xml:space="preserve">Tunog Kalye Radio does not compete with Spotify by attempting to build a massive, algorithm-driven catalog of millions of songs. Instead, we compete by being a highly curated stage, a purpose-built platform where every track has been selected by knowledgeable human curators who understand the cultural significance, emotional resonance, and technical quality of the music they program. This curation-first approach allows us to build deeper listener loyalty and more meaningful artist relationships than any algorithm could achieve.</w:t>
      </w:r>
    </w:p>
    <w:p>
      <w:pPr>
        <w:pStyle w:val="Heading2"/>
        <w:spacing w:after="200" w:before="300"/>
      </w:pPr>
      <w:r>
        <w:rPr>
          <w:rFonts w:ascii="Times New Roman" w:cs="Times New Roman" w:eastAsia="Times New Roman" w:hAnsi="Times New Roman"/>
          <w:b/>
          <w:bCs/>
          <w:color w:val="020617"/>
          <w:sz w:val="28"/>
          <w:szCs w:val="28"/>
        </w:rPr>
        <w:t xml:space="preserve">4.1 The "Kanto Fund": Revenue Sharing</w:t>
      </w:r>
    </w:p>
    <w:p>
      <w:pPr>
        <w:spacing w:after="160" w:line="250"/>
        <w:jc w:val="left"/>
      </w:pPr>
      <w:r>
        <w:rPr>
          <w:rFonts w:ascii="Calibri" w:cs="Calibri" w:eastAsia="Calibri" w:hAnsi="Calibri"/>
          <w:color w:val="1E293B"/>
          <w:sz w:val="22"/>
          <w:szCs w:val="22"/>
        </w:rPr>
        <w:t xml:space="preserve">Instead of implementing complex per-stream payout mechanisms that disadvantage independent artists, Tunog Kalye Radio utilizes a transparent, community-visible revenue model. A dedicated percentage of all advertising revenue, corporate sponsorships, and fan donations is pooled into what we call the "Kanto Fund," named after the Filipino concept of the neighborhood corner, where community bonds are strongest. This fund is distributed quarterly to our top-charting independent artists, directly funding their next recording session, music video, or live gig.</w:t>
      </w:r>
    </w:p>
    <w:p>
      <w:pPr>
        <w:spacing w:after="160" w:line="250"/>
        <w:jc w:val="left"/>
      </w:pPr>
      <w:r>
        <w:rPr>
          <w:rFonts w:ascii="Calibri" w:cs="Calibri" w:eastAsia="Calibri" w:hAnsi="Calibri"/>
          <w:color w:val="1E293B"/>
          <w:sz w:val="22"/>
          <w:szCs w:val="22"/>
        </w:rPr>
        <w:t xml:space="preserve">This model creates a powerful incentive loop: artists promote our station to their fans because airtime on Tunog Kalye translates directly into financial support. Fans donate and engage with sponsors because they know their contributions flow directly to the artists they love. The transparency of the Kanto Fund builds the kind of trust that transforms casual listeners into passionate community advocates, creating a self-reinforcing growth cycle that benefits every stakeholder in our ecosystem.</w:t>
      </w:r>
    </w:p>
    <w:p>
      <w:pPr>
        <w:pStyle w:val="Heading2"/>
        <w:spacing w:after="200" w:before="300"/>
      </w:pPr>
      <w:r>
        <w:rPr>
          <w:rFonts w:ascii="Times New Roman" w:cs="Times New Roman" w:eastAsia="Times New Roman" w:hAnsi="Times New Roman"/>
          <w:b/>
          <w:bCs/>
          <w:color w:val="020617"/>
          <w:sz w:val="28"/>
          <w:szCs w:val="28"/>
        </w:rPr>
        <w:t xml:space="preserve">4.2 Direct-to-Fan Monetization Funnels</w:t>
      </w:r>
    </w:p>
    <w:p>
      <w:pPr>
        <w:spacing w:after="160" w:line="250"/>
        <w:jc w:val="left"/>
      </w:pPr>
      <w:r>
        <w:rPr>
          <w:rFonts w:ascii="Calibri" w:cs="Calibri" w:eastAsia="Calibri" w:hAnsi="Calibri"/>
          <w:color w:val="1E293B"/>
          <w:sz w:val="22"/>
          <w:szCs w:val="22"/>
        </w:rPr>
        <w:t xml:space="preserve">Using Dotcompal, every artist featured on Tunog Kalye gains access to a custom "Artist Hub," a branded funnel page that serves as their direct-to-fan storefront. When a listener hears a song they love on our station, they can click a link that takes them directly to the artist's hub, where they have multiple options to financially support the artist. Critically, Tunog Kalye takes zero commission from any artist merch sales, digital album purchases, tip transactions, or ticket sales. This zero-commission policy is not merely a marketing statement; it is the foundational principle of our artist trust framework.</w:t>
      </w:r>
    </w:p>
    <w:p>
      <w:pPr>
        <w:pStyle w:val="ListParagraph"/>
        <w:numPr>
          <w:ilvl w:val="0"/>
          <w:numId w:val="3"/>
        </w:numPr>
        <w:spacing w:after="100" w:line="250"/>
      </w:pPr>
      <w:r>
        <w:rPr>
          <w:rFonts w:ascii="Calibri" w:cs="Calibri" w:eastAsia="Calibri" w:hAnsi="Calibri"/>
          <w:color w:val="1E293B"/>
          <w:sz w:val="22"/>
          <w:szCs w:val="22"/>
        </w:rPr>
        <w:t xml:space="preserve">Tip the artist directly through micro-donation options (e.g., "Buy this artist a coffee")</w:t>
      </w:r>
    </w:p>
    <w:p>
      <w:pPr>
        <w:pStyle w:val="ListParagraph"/>
        <w:numPr>
          <w:ilvl w:val="0"/>
          <w:numId w:val="3"/>
        </w:numPr>
        <w:spacing w:after="100" w:line="250"/>
      </w:pPr>
      <w:r>
        <w:rPr>
          <w:rFonts w:ascii="Calibri" w:cs="Calibri" w:eastAsia="Calibri" w:hAnsi="Calibri"/>
          <w:color w:val="1E293B"/>
          <w:sz w:val="22"/>
          <w:szCs w:val="22"/>
        </w:rPr>
        <w:t xml:space="preserve">Purchase the artist's merchandise, physical CDs, or digital albums with secure checkout</w:t>
      </w:r>
    </w:p>
    <w:p>
      <w:pPr>
        <w:pStyle w:val="ListParagraph"/>
        <w:numPr>
          <w:ilvl w:val="0"/>
          <w:numId w:val="3"/>
        </w:numPr>
        <w:spacing w:after="100" w:line="250"/>
      </w:pPr>
      <w:r>
        <w:rPr>
          <w:rFonts w:ascii="Calibri" w:cs="Calibri" w:eastAsia="Calibri" w:hAnsi="Calibri"/>
          <w:color w:val="1E293B"/>
          <w:sz w:val="22"/>
          <w:szCs w:val="22"/>
        </w:rPr>
        <w:t xml:space="preserve">Buy tickets to the artist's local gigs and live performances</w:t>
      </w:r>
    </w:p>
    <w:p>
      <w:pPr>
        <w:pStyle w:val="ListParagraph"/>
        <w:numPr>
          <w:ilvl w:val="0"/>
          <w:numId w:val="3"/>
        </w:numPr>
        <w:spacing w:after="100" w:line="250"/>
      </w:pPr>
      <w:r>
        <w:rPr>
          <w:rFonts w:ascii="Calibri" w:cs="Calibri" w:eastAsia="Calibri" w:hAnsi="Calibri"/>
          <w:color w:val="1E293B"/>
          <w:sz w:val="22"/>
          <w:szCs w:val="22"/>
        </w:rPr>
        <w:t xml:space="preserve">Subscribe to the artist's exclusive content updates and behind-the-scenes access</w:t>
      </w:r>
    </w:p>
    <w:p>
      <w:pPr>
        <w:pStyle w:val="Heading2"/>
        <w:spacing w:after="200" w:before="300"/>
      </w:pPr>
      <w:r>
        <w:rPr>
          <w:rFonts w:ascii="Times New Roman" w:cs="Times New Roman" w:eastAsia="Times New Roman" w:hAnsi="Times New Roman"/>
          <w:b/>
          <w:bCs/>
          <w:color w:val="020617"/>
          <w:sz w:val="28"/>
          <w:szCs w:val="28"/>
        </w:rPr>
        <w:t xml:space="preserve">4.3 Targeted Local Sponsorships</w:t>
      </w:r>
    </w:p>
    <w:p>
      <w:pPr>
        <w:spacing w:after="160" w:line="250"/>
        <w:jc w:val="left"/>
      </w:pPr>
      <w:r>
        <w:rPr>
          <w:rFonts w:ascii="Calibri" w:cs="Calibri" w:eastAsia="Calibri" w:hAnsi="Calibri"/>
          <w:color w:val="1E293B"/>
          <w:sz w:val="22"/>
          <w:szCs w:val="22"/>
        </w:rPr>
        <w:t xml:space="preserve">Tunog Kalye monetizes the platform through strategically targeted audio ad slots and banner placements on tunogkalye.net, specifically focusing on businesses relevant to our core demographic. Rather than pursuing generic national advertising, we target local businesses within the Filipino-Canadian community and beyond, including Filipino restaurants, music instrument shops, cultural event promoters, and community organizations. This hyper-local targeting approach delivers significantly higher conversion rates for sponsors while keeping the advertising experience relevant and non-intrusive for our listeners.</w:t>
      </w:r>
    </w:p>
    <w:p>
      <w:pPr>
        <w:spacing w:after="160" w:line="250"/>
        <w:jc w:val="left"/>
      </w:pPr>
      <w:r>
        <w:rPr>
          <w:rFonts w:ascii="Calibri" w:cs="Calibri" w:eastAsia="Calibri" w:hAnsi="Calibri"/>
          <w:color w:val="1E293B"/>
          <w:sz w:val="22"/>
          <w:szCs w:val="22"/>
        </w:rPr>
        <w:t xml:space="preserve">Our sponsorship packages are designed to be accessible for small businesses, with entry-level shoutout packages starting at affordable monthly rates and premium banner placement options for established sponsors. Each sponsorship package includes measurable metrics, including estimated listener impressions, click-through rates on web banners, and social media reach, ensuring that sponsors can quantify their return on investment with confidence.</w:t>
      </w:r>
    </w:p>
    <w:p>
      <w:pPr>
        <w:spacing w:after="0" w:before="10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1800"/>
        <w:gridCol w:w="2800"/>
        <w:gridCol w:w="2380"/>
        <w:gridCol w:w="2380"/>
      </w:tblGrid>
      <w:tr>
        <w:trPr>
          <w:tblHeader/>
        </w:trPr>
        <w:tc>
          <w:tcPr>
            <w:tcW w:type="dxa" w:w="1800"/>
            <w:tcBorders>
              <w:top w:val="single" w:color="020617" w:sz="12"/>
              <w:left w:val="none" w:color="FFFFFF" w:sz="0"/>
              <w:bottom w:val="single" w:color="020617" w:sz="12"/>
              <w:right w:val="none" w:color="FFFFFF" w:sz="0"/>
            </w:tcBorders>
            <w:shd w:fill="0F172A" w:val="clear"/>
            <w:vAlign w:val="center"/>
          </w:tcPr>
          <w:p>
            <w:pPr>
              <w:jc w:val="center"/>
            </w:pPr>
            <w:r>
              <w:rPr>
                <w:rFonts w:ascii="Calibri" w:cs="Calibri" w:eastAsia="Calibri" w:hAnsi="Calibri"/>
                <w:b/>
                <w:bCs/>
                <w:color w:val="FFFFFF"/>
                <w:sz w:val="20"/>
                <w:szCs w:val="20"/>
              </w:rPr>
              <w:t xml:space="preserve">Revenue Stream</w:t>
            </w:r>
          </w:p>
        </w:tc>
        <w:tc>
          <w:tcPr>
            <w:tcW w:type="dxa" w:w="2800"/>
            <w:tcBorders>
              <w:top w:val="single" w:color="020617" w:sz="12"/>
              <w:left w:val="none" w:color="FFFFFF" w:sz="0"/>
              <w:bottom w:val="single" w:color="020617" w:sz="12"/>
              <w:right w:val="none" w:color="FFFFFF" w:sz="0"/>
            </w:tcBorders>
            <w:shd w:fill="0F172A" w:val="clear"/>
            <w:vAlign w:val="center"/>
          </w:tcPr>
          <w:p>
            <w:pPr>
              <w:jc w:val="center"/>
            </w:pPr>
            <w:r>
              <w:rPr>
                <w:rFonts w:ascii="Calibri" w:cs="Calibri" w:eastAsia="Calibri" w:hAnsi="Calibri"/>
                <w:b/>
                <w:bCs/>
                <w:color w:val="FFFFFF"/>
                <w:sz w:val="20"/>
                <w:szCs w:val="20"/>
              </w:rPr>
              <w:t xml:space="preserve">Description</w:t>
            </w:r>
          </w:p>
        </w:tc>
        <w:tc>
          <w:tcPr>
            <w:tcW w:type="dxa" w:w="2380"/>
            <w:tcBorders>
              <w:top w:val="single" w:color="020617" w:sz="12"/>
              <w:left w:val="none" w:color="FFFFFF" w:sz="0"/>
              <w:bottom w:val="single" w:color="020617" w:sz="12"/>
              <w:right w:val="none" w:color="FFFFFF" w:sz="0"/>
            </w:tcBorders>
            <w:shd w:fill="0F172A" w:val="clear"/>
            <w:vAlign w:val="center"/>
          </w:tcPr>
          <w:p>
            <w:pPr>
              <w:jc w:val="center"/>
            </w:pPr>
            <w:r>
              <w:rPr>
                <w:rFonts w:ascii="Calibri" w:cs="Calibri" w:eastAsia="Calibri" w:hAnsi="Calibri"/>
                <w:b/>
                <w:bCs/>
                <w:color w:val="FFFFFF"/>
                <w:sz w:val="20"/>
                <w:szCs w:val="20"/>
              </w:rPr>
              <w:t xml:space="preserve">Artist Benefit</w:t>
            </w:r>
          </w:p>
        </w:tc>
        <w:tc>
          <w:tcPr>
            <w:tcW w:type="dxa" w:w="2380"/>
            <w:tcBorders>
              <w:top w:val="single" w:color="020617" w:sz="12"/>
              <w:left w:val="none" w:color="FFFFFF" w:sz="0"/>
              <w:bottom w:val="single" w:color="020617" w:sz="12"/>
              <w:right w:val="none" w:color="FFFFFF" w:sz="0"/>
            </w:tcBorders>
            <w:shd w:fill="0F172A" w:val="clear"/>
            <w:vAlign w:val="center"/>
          </w:tcPr>
          <w:p>
            <w:pPr>
              <w:jc w:val="center"/>
            </w:pPr>
            <w:r>
              <w:rPr>
                <w:rFonts w:ascii="Calibri" w:cs="Calibri" w:eastAsia="Calibri" w:hAnsi="Calibri"/>
                <w:b/>
                <w:bCs/>
                <w:color w:val="FFFFFF"/>
                <w:sz w:val="20"/>
                <w:szCs w:val="20"/>
              </w:rPr>
              <w:t xml:space="preserve">Platform Take</w:t>
            </w:r>
          </w:p>
        </w:tc>
      </w:tr>
      <w:tr>
        <w:tc>
          <w:tcPr>
            <w:tcW w:type="dxa" w:w="18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Kanto Fund</w:t>
            </w:r>
          </w:p>
        </w:tc>
        <w:tc>
          <w:tcPr>
            <w:tcW w:type="dxa" w:w="28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Quarterly pool from ads, sponsors, donations</w:t>
            </w:r>
          </w:p>
        </w:tc>
        <w:tc>
          <w:tcPr>
            <w:tcW w:type="dxa" w:w="23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Direct financial support for recording/gigs</w:t>
            </w:r>
          </w:p>
        </w:tc>
        <w:tc>
          <w:tcPr>
            <w:tcW w:type="dxa" w:w="23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Transparent percentage retained</w:t>
            </w:r>
          </w:p>
        </w:tc>
      </w:tr>
      <w:tr>
        <w:tc>
          <w:tcPr>
            <w:tcW w:type="dxa" w:w="18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Artist Hub Tips</w:t>
            </w:r>
          </w:p>
        </w:tc>
        <w:tc>
          <w:tcPr>
            <w:tcW w:type="dxa" w:w="28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Direct micro-donations via Dotcompal funnels</w:t>
            </w:r>
          </w:p>
        </w:tc>
        <w:tc>
          <w:tcPr>
            <w:tcW w:type="dxa" w:w="23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100% of tips go to the artist</w:t>
            </w:r>
          </w:p>
        </w:tc>
        <w:tc>
          <w:tcPr>
            <w:tcW w:type="dxa" w:w="23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Zero commission</w:t>
            </w:r>
          </w:p>
        </w:tc>
      </w:tr>
      <w:tr>
        <w:tc>
          <w:tcPr>
            <w:tcW w:type="dxa" w:w="18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Merch &amp; Albums</w:t>
            </w:r>
          </w:p>
        </w:tc>
        <w:tc>
          <w:tcPr>
            <w:tcW w:type="dxa" w:w="28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Artist storefront for physical &amp; digital goods</w:t>
            </w:r>
          </w:p>
        </w:tc>
        <w:tc>
          <w:tcPr>
            <w:tcW w:type="dxa" w:w="23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100% of sales go to the artist</w:t>
            </w:r>
          </w:p>
        </w:tc>
        <w:tc>
          <w:tcPr>
            <w:tcW w:type="dxa" w:w="23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Zero commission</w:t>
            </w:r>
          </w:p>
        </w:tc>
      </w:tr>
      <w:tr>
        <w:tc>
          <w:tcPr>
            <w:tcW w:type="dxa" w:w="18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Gig Tickets</w:t>
            </w:r>
          </w:p>
        </w:tc>
        <w:tc>
          <w:tcPr>
            <w:tcW w:type="dxa" w:w="28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Event ticket sales through artist hubs</w:t>
            </w:r>
          </w:p>
        </w:tc>
        <w:tc>
          <w:tcPr>
            <w:tcW w:type="dxa" w:w="23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100% of ticket revenue to the artist</w:t>
            </w:r>
          </w:p>
        </w:tc>
        <w:tc>
          <w:tcPr>
            <w:tcW w:type="dxa" w:w="23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Zero commission</w:t>
            </w:r>
          </w:p>
        </w:tc>
      </w:tr>
      <w:tr>
        <w:tc>
          <w:tcPr>
            <w:tcW w:type="dxa" w:w="18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Audio Ads</w:t>
            </w:r>
          </w:p>
        </w:tc>
        <w:tc>
          <w:tcPr>
            <w:tcW w:type="dxa" w:w="28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Targeted ad slots for local businesses</w:t>
            </w:r>
          </w:p>
        </w:tc>
        <w:tc>
          <w:tcPr>
            <w:tcW w:type="dxa" w:w="23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Indirect: funds the Kanto Fund pool</w:t>
            </w:r>
          </w:p>
        </w:tc>
        <w:tc>
          <w:tcPr>
            <w:tcW w:type="dxa" w:w="23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Revenue supports operations &amp; fund</w:t>
            </w:r>
          </w:p>
        </w:tc>
      </w:tr>
      <w:tr>
        <w:tc>
          <w:tcPr>
            <w:tcW w:type="dxa" w:w="18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Banner Ads</w:t>
            </w:r>
          </w:p>
        </w:tc>
        <w:tc>
          <w:tcPr>
            <w:tcW w:type="dxa" w:w="28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Website banner placements on tunogkalye.net</w:t>
            </w:r>
          </w:p>
        </w:tc>
        <w:tc>
          <w:tcPr>
            <w:tcW w:type="dxa" w:w="23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Indirect: funds the Kanto Fund pool</w:t>
            </w:r>
          </w:p>
        </w:tc>
        <w:tc>
          <w:tcPr>
            <w:tcW w:type="dxa" w:w="23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Revenue supports operations &amp; fund</w:t>
            </w:r>
          </w:p>
        </w:tc>
      </w:tr>
    </w:tbl>
    <w:p>
      <w:pPr>
        <w:spacing w:after="200" w:before="60"/>
        <w:jc w:val="center"/>
      </w:pPr>
      <w:r>
        <w:rPr>
          <w:rFonts w:ascii="Calibri" w:cs="Calibri" w:eastAsia="Calibri" w:hAnsi="Calibri"/>
          <w:i/>
          <w:iCs/>
          <w:color w:val="64748B"/>
          <w:sz w:val="18"/>
          <w:szCs w:val="18"/>
        </w:rPr>
        <w:t xml:space="preserve">Table 2: Revenue Model Breakdown</w:t>
      </w:r>
    </w:p>
    <w:p>
      <w:pPr>
        <w:spacing w:after="0" w:before="200"/>
      </w:pPr>
      <w:r>
        <w:t xml:space="preserve"/>
      </w:r>
    </w:p>
    <w:p>
      <w:pPr>
        <w:pStyle w:val="Heading1"/>
        <w:spacing w:after="300" w:before="600"/>
      </w:pPr>
      <w:r>
        <w:rPr>
          <w:rFonts w:ascii="Times New Roman" w:cs="Times New Roman" w:eastAsia="Times New Roman" w:hAnsi="Times New Roman"/>
          <w:b/>
          <w:bCs/>
          <w:color w:val="020617"/>
          <w:sz w:val="36"/>
          <w:szCs w:val="36"/>
        </w:rPr>
        <w:t xml:space="preserve">5. Artist &amp; Audience Engagement Strategy</w:t>
      </w:r>
    </w:p>
    <w:p>
      <w:pPr>
        <w:spacing w:after="100" w:before="100"/>
      </w:pPr>
      <w:r>
        <w:rPr>
          <w:rFonts w:ascii="Calibri" w:cs="Calibri" w:eastAsia="Calibri" w:hAnsi="Calibri"/>
          <w:color w:val="94A3B8"/>
          <w:sz w:val="14"/>
          <w:szCs w:val="14"/>
        </w:rPr>
        <w:t xml:space="preserve">━━━━━━━━━━━━━━━━━━━━━━━━━━━━━━━━━━━━━━━━━━━</w:t>
      </w:r>
    </w:p>
    <w:p>
      <w:pPr>
        <w:pStyle w:val="Heading2"/>
        <w:spacing w:after="200" w:before="300"/>
      </w:pPr>
      <w:r>
        <w:rPr>
          <w:rFonts w:ascii="Times New Roman" w:cs="Times New Roman" w:eastAsia="Times New Roman" w:hAnsi="Times New Roman"/>
          <w:b/>
          <w:bCs/>
          <w:color w:val="020617"/>
          <w:sz w:val="28"/>
          <w:szCs w:val="28"/>
        </w:rPr>
        <w:t xml:space="preserve">5.1 The "Open Kanto" Policy</w:t>
      </w:r>
    </w:p>
    <w:p>
      <w:pPr>
        <w:spacing w:after="160" w:line="250"/>
        <w:jc w:val="left"/>
      </w:pPr>
      <w:r>
        <w:rPr>
          <w:rFonts w:ascii="Calibri" w:cs="Calibri" w:eastAsia="Calibri" w:hAnsi="Calibri"/>
          <w:color w:val="1E293B"/>
          <w:sz w:val="22"/>
          <w:szCs w:val="22"/>
        </w:rPr>
        <w:t xml:space="preserve">At the core of our artist relationship philosophy is the "Open Kanto" Policy, a straightforward and artist-friendly approach to content rights. Artists retain 100% of their copyrights at all times. We only ask for non-exclusive digital broadcasting rights, meaning artists can simultaneously distribute their music on Spotify, Apple Music, YouTube, or any other platform without any conflict whatsoever. This policy removes the legal red tape and contractual anxiety that scares independent artists away from traditional label agreements and ensures that Tunog Kalye functions as a promotional partner, not a gatekeeper.</w:t>
      </w:r>
    </w:p>
    <w:p>
      <w:pPr>
        <w:spacing w:after="160" w:line="250"/>
        <w:jc w:val="left"/>
      </w:pPr>
      <w:r>
        <w:rPr>
          <w:rFonts w:ascii="Calibri" w:cs="Calibri" w:eastAsia="Calibri" w:hAnsi="Calibri"/>
          <w:color w:val="1E293B"/>
          <w:sz w:val="22"/>
          <w:szCs w:val="22"/>
        </w:rPr>
        <w:t xml:space="preserve">This non-exclusive approach also means that artists have absolutely nothing to lose by submitting their music to our station. There are no advance recoupment clauses, no territorial restrictions, and no minimum commitment periods. If an artist signs a major label deal six months after we start playing their music, they can continue to receive airtime on our station without any legal complications. This freedom-first philosophy has proven to be our most powerful artist acquisition tool, as word spreads quickly through indie music communities that Tunog Kalye truly operates on the artist's terms.</w:t>
      </w:r>
    </w:p>
    <w:p>
      <w:pPr>
        <w:pStyle w:val="Heading2"/>
        <w:spacing w:after="200" w:before="300"/>
      </w:pPr>
      <w:r>
        <w:rPr>
          <w:rFonts w:ascii="Times New Roman" w:cs="Times New Roman" w:eastAsia="Times New Roman" w:hAnsi="Times New Roman"/>
          <w:b/>
          <w:bCs/>
          <w:color w:val="020617"/>
          <w:sz w:val="28"/>
          <w:szCs w:val="28"/>
        </w:rPr>
        <w:t xml:space="preserve">5.2 Community Over Algorithms</w:t>
      </w:r>
    </w:p>
    <w:p>
      <w:pPr>
        <w:spacing w:after="160" w:line="250"/>
        <w:jc w:val="left"/>
      </w:pPr>
      <w:r>
        <w:rPr>
          <w:rFonts w:ascii="Calibri" w:cs="Calibri" w:eastAsia="Calibri" w:hAnsi="Calibri"/>
          <w:color w:val="1E293B"/>
          <w:sz w:val="22"/>
          <w:szCs w:val="22"/>
        </w:rPr>
        <w:t xml:space="preserve">We fundamentally reject the notion that a computer algorithm should decide what music people hear. On Tunog Kalye Radio, every playlist is hand-curated by live sound engineers and DJs who possess deep knowledge of both the emotional landscape and technical quality of Pinoy Rock. Our curators understand the cultural context behind every track, the stories of the bands who created them, and the emotional resonance these songs carry for Filipino audiences worldwide. This human-first approach to programming creates listening experiences that feel personal, authentic, and culturally grounded in ways that no algorithm can replicate.</w:t>
      </w:r>
    </w:p>
    <w:p>
      <w:pPr>
        <w:spacing w:after="160" w:line="250"/>
        <w:jc w:val="left"/>
      </w:pPr>
      <w:r>
        <w:rPr>
          <w:rFonts w:ascii="Calibri" w:cs="Calibri" w:eastAsia="Calibri" w:hAnsi="Calibri"/>
          <w:color w:val="1E293B"/>
          <w:sz w:val="22"/>
          <w:szCs w:val="22"/>
        </w:rPr>
        <w:t xml:space="preserve">Our curation philosophy extends beyond simply selecting good songs. We program entire listening experiences, considering factors like time of day, seasonal relevance, thematic connections between tracks, and the emotional arc of multi-hour broadcast blocks. A Saturday morning show feels fundamentally different from a late-night drive-time block, and our curators craft each moment with the same attention to detail that a professional concert programmer brings to a live festival lineup.</w:t>
      </w:r>
    </w:p>
    <w:p>
      <w:pPr>
        <w:pStyle w:val="Heading2"/>
        <w:spacing w:after="200" w:before="300"/>
      </w:pPr>
      <w:r>
        <w:rPr>
          <w:rFonts w:ascii="Times New Roman" w:cs="Times New Roman" w:eastAsia="Times New Roman" w:hAnsi="Times New Roman"/>
          <w:b/>
          <w:bCs/>
          <w:color w:val="020617"/>
          <w:sz w:val="28"/>
          <w:szCs w:val="28"/>
        </w:rPr>
        <w:t xml:space="preserve">5.3 The Video Hub Expansion</w:t>
      </w:r>
    </w:p>
    <w:p>
      <w:pPr>
        <w:spacing w:after="160" w:line="250"/>
        <w:jc w:val="left"/>
      </w:pPr>
      <w:r>
        <w:rPr>
          <w:rFonts w:ascii="Calibri" w:cs="Calibri" w:eastAsia="Calibri" w:hAnsi="Calibri"/>
          <w:color w:val="1E293B"/>
          <w:sz w:val="22"/>
          <w:szCs w:val="22"/>
        </w:rPr>
        <w:t xml:space="preserve">To combat the persistent piracy of visual content and provide fans with a premium legal alternative, Tunog Kalye is developing video.tunogkalye.net as a Dotcompal-hosted video platform dedicated exclusively to original Filipino music content. This is not intended to replicate our YouTube presence but rather to serve as a premium VIP experience that offers exclusive content unavailable anywhere else. The Video Hub addresses the reality that many fans pirate concert footage and music videos not out of malicious intent, but because no legal, high-quality alternative exists that curates Filipino music video content in one accessible location.</w:t>
      </w:r>
    </w:p>
    <w:p>
      <w:pPr>
        <w:pStyle w:val="ListParagraph"/>
        <w:numPr>
          <w:ilvl w:val="0"/>
          <w:numId w:val="4"/>
        </w:numPr>
        <w:spacing w:after="100" w:line="250"/>
      </w:pPr>
      <w:r>
        <w:rPr>
          <w:rFonts w:ascii="Calibri" w:cs="Calibri" w:eastAsia="Calibri" w:hAnsi="Calibri"/>
          <w:color w:val="1E293B"/>
          <w:sz w:val="22"/>
          <w:szCs w:val="22"/>
        </w:rPr>
        <w:t xml:space="preserve">"Kwento ng Kanta" video podcast episodes with stories behind iconic OPM tracks</w:t>
      </w:r>
    </w:p>
    <w:p>
      <w:pPr>
        <w:pStyle w:val="ListParagraph"/>
        <w:numPr>
          <w:ilvl w:val="0"/>
          <w:numId w:val="4"/>
        </w:numPr>
        <w:spacing w:after="100" w:line="250"/>
      </w:pPr>
      <w:r>
        <w:rPr>
          <w:rFonts w:ascii="Calibri" w:cs="Calibri" w:eastAsia="Calibri" w:hAnsi="Calibri"/>
          <w:color w:val="1E293B"/>
          <w:sz w:val="22"/>
          <w:szCs w:val="22"/>
        </w:rPr>
        <w:t xml:space="preserve">Live DJ replay recordings from our Saturday night Mixxx broadcast sessions</w:t>
      </w:r>
    </w:p>
    <w:p>
      <w:pPr>
        <w:pStyle w:val="ListParagraph"/>
        <w:numPr>
          <w:ilvl w:val="0"/>
          <w:numId w:val="4"/>
        </w:numPr>
        <w:spacing w:after="100" w:line="250"/>
      </w:pPr>
      <w:r>
        <w:rPr>
          <w:rFonts w:ascii="Calibri" w:cs="Calibri" w:eastAsia="Calibri" w:hAnsi="Calibri"/>
          <w:color w:val="1E293B"/>
          <w:sz w:val="22"/>
          <w:szCs w:val="22"/>
        </w:rPr>
        <w:t xml:space="preserve">"Kanto Sessions": exclusive live performance videos from local bands recorded in their own spaces</w:t>
      </w:r>
    </w:p>
    <w:p>
      <w:pPr>
        <w:pStyle w:val="ListParagraph"/>
        <w:numPr>
          <w:ilvl w:val="0"/>
          <w:numId w:val="4"/>
        </w:numPr>
        <w:spacing w:after="100" w:line="250"/>
      </w:pPr>
      <w:r>
        <w:rPr>
          <w:rFonts w:ascii="Calibri" w:cs="Calibri" w:eastAsia="Calibri" w:hAnsi="Calibri"/>
          <w:color w:val="1E293B"/>
          <w:sz w:val="22"/>
          <w:szCs w:val="22"/>
        </w:rPr>
        <w:t xml:space="preserve">Behind-the-scenes studio footage and artist interview content</w:t>
      </w:r>
    </w:p>
    <w:p>
      <w:pPr>
        <w:spacing w:after="0" w:before="200"/>
      </w:pPr>
      <w:r>
        <w:t xml:space="preserve"/>
      </w:r>
    </w:p>
    <w:p>
      <w:pPr>
        <w:pStyle w:val="Heading1"/>
        <w:spacing w:after="300" w:before="600"/>
      </w:pPr>
      <w:r>
        <w:rPr>
          <w:rFonts w:ascii="Times New Roman" w:cs="Times New Roman" w:eastAsia="Times New Roman" w:hAnsi="Times New Roman"/>
          <w:b/>
          <w:bCs/>
          <w:color w:val="020617"/>
          <w:sz w:val="36"/>
          <w:szCs w:val="36"/>
        </w:rPr>
        <w:t xml:space="preserve">6. Marketing &amp; Growth Roadmap</w:t>
      </w:r>
    </w:p>
    <w:p>
      <w:pPr>
        <w:spacing w:after="100" w:before="100"/>
      </w:pPr>
      <w:r>
        <w:rPr>
          <w:rFonts w:ascii="Calibri" w:cs="Calibri" w:eastAsia="Calibri" w:hAnsi="Calibri"/>
          <w:color w:val="94A3B8"/>
          <w:sz w:val="14"/>
          <w:szCs w:val="14"/>
        </w:rPr>
        <w:t xml:space="preserve">━━━━━━━━━━━━━━━━━━━━━━━━━━━━━━━━━━━━━━━━━━━</w:t>
      </w:r>
    </w:p>
    <w:p>
      <w:pPr>
        <w:spacing w:after="160" w:line="250"/>
        <w:jc w:val="left"/>
      </w:pPr>
      <w:r>
        <w:rPr>
          <w:rFonts w:ascii="Calibri" w:cs="Calibri" w:eastAsia="Calibri" w:hAnsi="Calibri"/>
          <w:color w:val="1E293B"/>
          <w:sz w:val="22"/>
          <w:szCs w:val="22"/>
        </w:rPr>
        <w:t xml:space="preserve">Our marketing strategy is built on a three-phase growth model that begins with grassroots community building and progressively scales to strategic partnerships with established industry players. Each phase is designed to compound the results of the previous one, creating a flywheel effect where artist engagement drives listener growth, which attracts sponsors, which funds better infrastructure, which attracts more artists, and so on.</w:t>
      </w:r>
    </w:p>
    <w:p>
      <w:pPr>
        <w:pStyle w:val="Heading2"/>
        <w:spacing w:after="200" w:before="300"/>
      </w:pPr>
      <w:r>
        <w:rPr>
          <w:rFonts w:ascii="Times New Roman" w:cs="Times New Roman" w:eastAsia="Times New Roman" w:hAnsi="Times New Roman"/>
          <w:b/>
          <w:bCs/>
          <w:color w:val="020617"/>
          <w:sz w:val="28"/>
          <w:szCs w:val="28"/>
        </w:rPr>
        <w:t xml:space="preserve">6.1 Phase 1: Grassroots Hacking (Current Phase)</w:t>
      </w:r>
    </w:p>
    <w:p>
      <w:pPr>
        <w:spacing w:after="160" w:line="250"/>
        <w:jc w:val="left"/>
      </w:pPr>
      <w:r>
        <w:rPr>
          <w:rFonts w:ascii="Calibri" w:cs="Calibri" w:eastAsia="Calibri" w:hAnsi="Calibri"/>
          <w:color w:val="1E293B"/>
          <w:sz w:val="22"/>
          <w:szCs w:val="22"/>
        </w:rPr>
        <w:t xml:space="preserve">The current phase focuses on establishing organic discoverability and building the foundational community that will fuel future growth. This phase requires minimal financial investment and relies primarily on strategic content creation, SEO optimization, and leveraging existing artist networks for grassroots promotion.</w:t>
      </w:r>
    </w:p>
    <w:p>
      <w:pPr>
        <w:spacing w:after="160" w:line="250"/>
        <w:jc w:val="left"/>
      </w:pPr>
      <w:r>
        <w:rPr>
          <w:rFonts w:ascii="Calibri" w:cs="Calibri" w:eastAsia="Calibri" w:hAnsi="Calibri"/>
          <w:b/>
          <w:bCs/>
          <w:color w:val="1E293B"/>
          <w:sz w:val="22"/>
          <w:szCs w:val="22"/>
        </w:rPr>
        <w:t xml:space="preserve">SEO &amp; Social Media Domination: </w:t>
      </w:r>
      <w:r>
        <w:rPr>
          <w:rFonts w:ascii="Calibri" w:cs="Calibri" w:eastAsia="Calibri" w:hAnsi="Calibri"/>
          <w:color w:val="1E293B"/>
          <w:sz w:val="22"/>
          <w:szCs w:val="22"/>
        </w:rPr>
        <w:t xml:space="preserve">We systematically target high-intent search terms such as "90s OPM Radio," "Pinoy Indie Radio Surrey," "Eraserheads internet radio," and "Filipino rock radio online" to capture listeners actively searching for the exact content we provide. Our social media strategy emphasizes consistent branding across all platforms with engaging content that highlights both our classic and modern programming.</w:t>
      </w:r>
    </w:p>
    <w:p>
      <w:pPr>
        <w:spacing w:after="160" w:line="250"/>
        <w:jc w:val="left"/>
      </w:pPr>
      <w:r>
        <w:rPr>
          <w:rFonts w:ascii="Calibri" w:cs="Calibri" w:eastAsia="Calibri" w:hAnsi="Calibri"/>
          <w:b/>
          <w:bCs/>
          <w:color w:val="1E293B"/>
          <w:sz w:val="22"/>
          <w:szCs w:val="22"/>
        </w:rPr>
        <w:t xml:space="preserve">TikTok &amp; Reels Nostalgia Strategy: </w:t>
      </w:r>
      <w:r>
        <w:rPr>
          <w:rFonts w:ascii="Calibri" w:cs="Calibri" w:eastAsia="Calibri" w:hAnsi="Calibri"/>
          <w:color w:val="1E293B"/>
          <w:sz w:val="22"/>
          <w:szCs w:val="22"/>
        </w:rPr>
        <w:t xml:space="preserve">Short-form video content featuring audio clips of classic OPM tracks paired with modern indie recordings drives massive organic traffic. The nostalgia factor of 90s Pinoy Rock creates strong emotional engagement and shareability, particularly among the Filipino diaspora who experience homesickness as a powerful motivator for cultural content consumption.</w:t>
      </w:r>
    </w:p>
    <w:p>
      <w:pPr>
        <w:spacing w:after="160" w:line="250"/>
        <w:jc w:val="left"/>
      </w:pPr>
      <w:r>
        <w:rPr>
          <w:rFonts w:ascii="Calibri" w:cs="Calibri" w:eastAsia="Calibri" w:hAnsi="Calibri"/>
          <w:b/>
          <w:bCs/>
          <w:color w:val="1E293B"/>
          <w:sz w:val="22"/>
          <w:szCs w:val="22"/>
        </w:rPr>
        <w:t xml:space="preserve">Artist Network Effect: </w:t>
      </w:r>
      <w:r>
        <w:rPr>
          <w:rFonts w:ascii="Calibri" w:cs="Calibri" w:eastAsia="Calibri" w:hAnsi="Calibri"/>
          <w:color w:val="1E293B"/>
          <w:sz w:val="22"/>
          <w:szCs w:val="22"/>
        </w:rPr>
        <w:t xml:space="preserve">Every time we feature an independent artist on our station, we provide them with a custom graphics kit optimized for social media sharing. When artists share these graphics with their own fan bases, each post becomes a micro-promotion for Tunog Kalye, driving their existing audience to our platform at zero acquisition cost.</w:t>
      </w:r>
    </w:p>
    <w:p>
      <w:pPr>
        <w:pStyle w:val="Heading2"/>
        <w:spacing w:after="200" w:before="300"/>
      </w:pPr>
      <w:r>
        <w:rPr>
          <w:rFonts w:ascii="Times New Roman" w:cs="Times New Roman" w:eastAsia="Times New Roman" w:hAnsi="Times New Roman"/>
          <w:b/>
          <w:bCs/>
          <w:color w:val="020617"/>
          <w:sz w:val="28"/>
          <w:szCs w:val="28"/>
        </w:rPr>
        <w:t xml:space="preserve">6.2 Phase 2: The Surrey-Philippines Bridge</w:t>
      </w:r>
    </w:p>
    <w:p>
      <w:pPr>
        <w:spacing w:after="160" w:line="250"/>
        <w:jc w:val="left"/>
      </w:pPr>
      <w:r>
        <w:rPr>
          <w:rFonts w:ascii="Calibri" w:cs="Calibri" w:eastAsia="Calibri" w:hAnsi="Calibri"/>
          <w:color w:val="1E293B"/>
          <w:sz w:val="22"/>
          <w:szCs w:val="22"/>
        </w:rPr>
        <w:t xml:space="preserve">Phase 2 expands our reach by establishing physical presence through partnerships with local Filipino-Canadian community organizations, restaurants, car shows, and cultural events. This phase transforms Tunog Kalye from a purely digital entity into a recognized community institution with tangible local impact.</w:t>
      </w:r>
    </w:p>
    <w:p>
      <w:pPr>
        <w:pStyle w:val="ListParagraph"/>
        <w:numPr>
          <w:ilvl w:val="0"/>
          <w:numId w:val="5"/>
        </w:numPr>
        <w:spacing w:after="100" w:line="250"/>
      </w:pPr>
      <w:r>
        <w:rPr>
          <w:rFonts w:ascii="Calibri" w:cs="Calibri" w:eastAsia="Calibri" w:hAnsi="Calibri"/>
          <w:color w:val="1E293B"/>
          <w:sz w:val="22"/>
          <w:szCs w:val="22"/>
        </w:rPr>
        <w:t xml:space="preserve">Partner with local Filipino-Canadian community events, restaurants, and car shows to host live remote broadcasts</w:t>
      </w:r>
    </w:p>
    <w:p>
      <w:pPr>
        <w:pStyle w:val="ListParagraph"/>
        <w:numPr>
          <w:ilvl w:val="0"/>
          <w:numId w:val="5"/>
        </w:numPr>
        <w:spacing w:after="100" w:line="250"/>
      </w:pPr>
      <w:r>
        <w:rPr>
          <w:rFonts w:ascii="Calibri" w:cs="Calibri" w:eastAsia="Calibri" w:hAnsi="Calibri"/>
          <w:color w:val="1E293B"/>
          <w:sz w:val="22"/>
          <w:szCs w:val="22"/>
        </w:rPr>
        <w:t xml:space="preserve">Launch targeted Facebook ad campaigns focusing on the Filipino diaspora in Canada, the Middle East, and the United States</w:t>
      </w:r>
    </w:p>
    <w:p>
      <w:pPr>
        <w:pStyle w:val="ListParagraph"/>
        <w:numPr>
          <w:ilvl w:val="0"/>
          <w:numId w:val="5"/>
        </w:numPr>
        <w:spacing w:after="100" w:line="250"/>
      </w:pPr>
      <w:r>
        <w:rPr>
          <w:rFonts w:ascii="Calibri" w:cs="Calibri" w:eastAsia="Calibri" w:hAnsi="Calibri"/>
          <w:color w:val="1E293B"/>
          <w:sz w:val="22"/>
          <w:szCs w:val="22"/>
        </w:rPr>
        <w:t xml:space="preserve">Establish a physical presence at cultural events like Pasko sa Surrey to build brand recognition</w:t>
      </w:r>
    </w:p>
    <w:p>
      <w:pPr>
        <w:pStyle w:val="ListParagraph"/>
        <w:numPr>
          <w:ilvl w:val="0"/>
          <w:numId w:val="5"/>
        </w:numPr>
        <w:spacing w:after="100" w:line="250"/>
      </w:pPr>
      <w:r>
        <w:rPr>
          <w:rFonts w:ascii="Calibri" w:cs="Calibri" w:eastAsia="Calibri" w:hAnsi="Calibri"/>
          <w:color w:val="1E293B"/>
          <w:sz w:val="22"/>
          <w:szCs w:val="22"/>
        </w:rPr>
        <w:t xml:space="preserve">Deploy community ambassadors who represent Tunog Kalye at local gatherings and cultural celebrations</w:t>
      </w:r>
    </w:p>
    <w:p>
      <w:pPr>
        <w:pStyle w:val="Heading2"/>
        <w:spacing w:after="200" w:before="300"/>
      </w:pPr>
      <w:r>
        <w:rPr>
          <w:rFonts w:ascii="Times New Roman" w:cs="Times New Roman" w:eastAsia="Times New Roman" w:hAnsi="Times New Roman"/>
          <w:b/>
          <w:bCs/>
          <w:color w:val="020617"/>
          <w:sz w:val="28"/>
          <w:szCs w:val="28"/>
        </w:rPr>
        <w:t xml:space="preserve">6.3 Phase 3: Strategic Partnerships</w:t>
      </w:r>
    </w:p>
    <w:p>
      <w:pPr>
        <w:spacing w:after="160" w:line="250"/>
        <w:jc w:val="left"/>
      </w:pPr>
      <w:r>
        <w:rPr>
          <w:rFonts w:ascii="Calibri" w:cs="Calibri" w:eastAsia="Calibri" w:hAnsi="Calibri"/>
          <w:color w:val="1E293B"/>
          <w:sz w:val="22"/>
          <w:szCs w:val="22"/>
        </w:rPr>
        <w:t xml:space="preserve">The final phase of our growth roadmap focuses on establishing formal partnerships with independent Filipino recording studios, indie music festivals, and cultural organizations. These partnerships transform Tunog Kalye from a standalone radio station into the promotional wing of a broader independent Filipino music ecosystem.</w:t>
      </w:r>
    </w:p>
    <w:p>
      <w:pPr>
        <w:pStyle w:val="ListParagraph"/>
        <w:numPr>
          <w:ilvl w:val="0"/>
          <w:numId w:val="6"/>
        </w:numPr>
        <w:spacing w:after="100" w:line="250"/>
      </w:pPr>
      <w:r>
        <w:rPr>
          <w:rFonts w:ascii="Calibri" w:cs="Calibri" w:eastAsia="Calibri" w:hAnsi="Calibri"/>
          <w:color w:val="1E293B"/>
          <w:sz w:val="22"/>
          <w:szCs w:val="22"/>
        </w:rPr>
        <w:t xml:space="preserve">Partner with independent Filipino recording studios to become their exclusive promotional broadcast partner</w:t>
      </w:r>
    </w:p>
    <w:p>
      <w:pPr>
        <w:pStyle w:val="ListParagraph"/>
        <w:numPr>
          <w:ilvl w:val="0"/>
          <w:numId w:val="6"/>
        </w:numPr>
        <w:spacing w:after="100" w:line="250"/>
      </w:pPr>
      <w:r>
        <w:rPr>
          <w:rFonts w:ascii="Calibri" w:cs="Calibri" w:eastAsia="Calibri" w:hAnsi="Calibri"/>
          <w:color w:val="1E293B"/>
          <w:sz w:val="22"/>
          <w:szCs w:val="22"/>
        </w:rPr>
        <w:t xml:space="preserve">Collaborate with indie music festivals for live stream sponsorships and co-branded events</w:t>
      </w:r>
    </w:p>
    <w:p>
      <w:pPr>
        <w:pStyle w:val="ListParagraph"/>
        <w:numPr>
          <w:ilvl w:val="0"/>
          <w:numId w:val="6"/>
        </w:numPr>
        <w:spacing w:after="100" w:line="250"/>
      </w:pPr>
      <w:r>
        <w:rPr>
          <w:rFonts w:ascii="Calibri" w:cs="Calibri" w:eastAsia="Calibri" w:hAnsi="Calibri"/>
          <w:color w:val="1E293B"/>
          <w:sz w:val="22"/>
          <w:szCs w:val="22"/>
        </w:rPr>
        <w:t xml:space="preserve">Establish reciprocal content-sharing agreements with Manila-based gig organizers</w:t>
      </w:r>
    </w:p>
    <w:p>
      <w:pPr>
        <w:pStyle w:val="ListParagraph"/>
        <w:numPr>
          <w:ilvl w:val="0"/>
          <w:numId w:val="6"/>
        </w:numPr>
        <w:spacing w:after="100" w:line="250"/>
      </w:pPr>
      <w:r>
        <w:rPr>
          <w:rFonts w:ascii="Calibri" w:cs="Calibri" w:eastAsia="Calibri" w:hAnsi="Calibri"/>
          <w:color w:val="1E293B"/>
          <w:sz w:val="22"/>
          <w:szCs w:val="22"/>
        </w:rPr>
        <w:t xml:space="preserve">Build an artist development pipeline that connects studio recording opportunities with broadcast promotion</w:t>
      </w:r>
    </w:p>
    <w:p>
      <w:pPr>
        <w:spacing w:after="0" w:before="10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1200"/>
        <w:gridCol w:w="2000"/>
        <w:gridCol w:w="3080"/>
        <w:gridCol w:w="3080"/>
      </w:tblGrid>
      <w:tr>
        <w:trPr>
          <w:tblHeader/>
        </w:trPr>
        <w:tc>
          <w:tcPr>
            <w:tcW w:type="dxa" w:w="1200"/>
            <w:tcBorders>
              <w:top w:val="single" w:color="020617" w:sz="12"/>
              <w:left w:val="none" w:color="FFFFFF" w:sz="0"/>
              <w:bottom w:val="single" w:color="020617" w:sz="12"/>
              <w:right w:val="none" w:color="FFFFFF" w:sz="0"/>
            </w:tcBorders>
            <w:shd w:fill="0F172A" w:val="clear"/>
            <w:vAlign w:val="center"/>
          </w:tcPr>
          <w:p>
            <w:pPr>
              <w:jc w:val="center"/>
            </w:pPr>
            <w:r>
              <w:rPr>
                <w:rFonts w:ascii="Calibri" w:cs="Calibri" w:eastAsia="Calibri" w:hAnsi="Calibri"/>
                <w:b/>
                <w:bCs/>
                <w:color w:val="FFFFFF"/>
                <w:sz w:val="20"/>
                <w:szCs w:val="20"/>
              </w:rPr>
              <w:t xml:space="preserve">Phase</w:t>
            </w:r>
          </w:p>
        </w:tc>
        <w:tc>
          <w:tcPr>
            <w:tcW w:type="dxa" w:w="2000"/>
            <w:tcBorders>
              <w:top w:val="single" w:color="020617" w:sz="12"/>
              <w:left w:val="none" w:color="FFFFFF" w:sz="0"/>
              <w:bottom w:val="single" w:color="020617" w:sz="12"/>
              <w:right w:val="none" w:color="FFFFFF" w:sz="0"/>
            </w:tcBorders>
            <w:shd w:fill="0F172A" w:val="clear"/>
            <w:vAlign w:val="center"/>
          </w:tcPr>
          <w:p>
            <w:pPr>
              <w:jc w:val="center"/>
            </w:pPr>
            <w:r>
              <w:rPr>
                <w:rFonts w:ascii="Calibri" w:cs="Calibri" w:eastAsia="Calibri" w:hAnsi="Calibri"/>
                <w:b/>
                <w:bCs/>
                <w:color w:val="FFFFFF"/>
                <w:sz w:val="20"/>
                <w:szCs w:val="20"/>
              </w:rPr>
              <w:t xml:space="preserve">Focus Area</w:t>
            </w:r>
          </w:p>
        </w:tc>
        <w:tc>
          <w:tcPr>
            <w:tcW w:type="dxa" w:w="3080"/>
            <w:tcBorders>
              <w:top w:val="single" w:color="020617" w:sz="12"/>
              <w:left w:val="none" w:color="FFFFFF" w:sz="0"/>
              <w:bottom w:val="single" w:color="020617" w:sz="12"/>
              <w:right w:val="none" w:color="FFFFFF" w:sz="0"/>
            </w:tcBorders>
            <w:shd w:fill="0F172A" w:val="clear"/>
            <w:vAlign w:val="center"/>
          </w:tcPr>
          <w:p>
            <w:pPr>
              <w:jc w:val="center"/>
            </w:pPr>
            <w:r>
              <w:rPr>
                <w:rFonts w:ascii="Calibri" w:cs="Calibri" w:eastAsia="Calibri" w:hAnsi="Calibri"/>
                <w:b/>
                <w:bCs/>
                <w:color w:val="FFFFFF"/>
                <w:sz w:val="20"/>
                <w:szCs w:val="20"/>
              </w:rPr>
              <w:t xml:space="preserve">Key Activities</w:t>
            </w:r>
          </w:p>
        </w:tc>
        <w:tc>
          <w:tcPr>
            <w:tcW w:type="dxa" w:w="3080"/>
            <w:tcBorders>
              <w:top w:val="single" w:color="020617" w:sz="12"/>
              <w:left w:val="none" w:color="FFFFFF" w:sz="0"/>
              <w:bottom w:val="single" w:color="020617" w:sz="12"/>
              <w:right w:val="none" w:color="FFFFFF" w:sz="0"/>
            </w:tcBorders>
            <w:shd w:fill="0F172A" w:val="clear"/>
            <w:vAlign w:val="center"/>
          </w:tcPr>
          <w:p>
            <w:pPr>
              <w:jc w:val="center"/>
            </w:pPr>
            <w:r>
              <w:rPr>
                <w:rFonts w:ascii="Calibri" w:cs="Calibri" w:eastAsia="Calibri" w:hAnsi="Calibri"/>
                <w:b/>
                <w:bCs/>
                <w:color w:val="FFFFFF"/>
                <w:sz w:val="20"/>
                <w:szCs w:val="20"/>
              </w:rPr>
              <w:t xml:space="preserve">Primary KPI</w:t>
            </w:r>
          </w:p>
        </w:tc>
      </w:tr>
      <w:tr>
        <w:tc>
          <w:tcPr>
            <w:tcW w:type="dxa" w:w="12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Phase 1</w:t>
            </w:r>
          </w:p>
        </w:tc>
        <w:tc>
          <w:tcPr>
            <w:tcW w:type="dxa" w:w="20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Grassroots Growth</w:t>
            </w:r>
          </w:p>
        </w:tc>
        <w:tc>
          <w:tcPr>
            <w:tcW w:type="dxa" w:w="30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SEO, social media, TikTok/Reels, artist network</w:t>
            </w:r>
          </w:p>
        </w:tc>
        <w:tc>
          <w:tcPr>
            <w:tcW w:type="dxa" w:w="30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Monthly listener growth, social engagement</w:t>
            </w:r>
          </w:p>
        </w:tc>
      </w:tr>
      <w:tr>
        <w:tc>
          <w:tcPr>
            <w:tcW w:type="dxa" w:w="12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Phase 2</w:t>
            </w:r>
          </w:p>
        </w:tc>
        <w:tc>
          <w:tcPr>
            <w:tcW w:type="dxa" w:w="20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Community Bridge</w:t>
            </w:r>
          </w:p>
        </w:tc>
        <w:tc>
          <w:tcPr>
            <w:tcW w:type="dxa" w:w="30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Live events, diaspora ads, cultural partnerships</w:t>
            </w:r>
          </w:p>
        </w:tc>
        <w:tc>
          <w:tcPr>
            <w:tcW w:type="dxa" w:w="30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Surrey community brand recognition</w:t>
            </w:r>
          </w:p>
        </w:tc>
      </w:tr>
      <w:tr>
        <w:tc>
          <w:tcPr>
            <w:tcW w:type="dxa" w:w="12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Phase 3</w:t>
            </w:r>
          </w:p>
        </w:tc>
        <w:tc>
          <w:tcPr>
            <w:tcW w:type="dxa" w:w="20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Strategic Alliances</w:t>
            </w:r>
          </w:p>
        </w:tc>
        <w:tc>
          <w:tcPr>
            <w:tcW w:type="dxa" w:w="30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Studio partnerships, festival sponsorships</w:t>
            </w:r>
          </w:p>
        </w:tc>
        <w:tc>
          <w:tcPr>
            <w:tcW w:type="dxa" w:w="308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Revenue per listener, sponsor count</w:t>
            </w:r>
          </w:p>
        </w:tc>
      </w:tr>
    </w:tbl>
    <w:p>
      <w:pPr>
        <w:spacing w:after="200" w:before="60"/>
        <w:jc w:val="center"/>
      </w:pPr>
      <w:r>
        <w:rPr>
          <w:rFonts w:ascii="Calibri" w:cs="Calibri" w:eastAsia="Calibri" w:hAnsi="Calibri"/>
          <w:i/>
          <w:iCs/>
          <w:color w:val="64748B"/>
          <w:sz w:val="18"/>
          <w:szCs w:val="18"/>
        </w:rPr>
        <w:t xml:space="preserve">Table 3: Growth Roadmap Summary</w:t>
      </w:r>
    </w:p>
    <w:p>
      <w:pPr>
        <w:spacing w:after="0" w:before="200"/>
      </w:pPr>
      <w:r>
        <w:t xml:space="preserve"/>
      </w:r>
    </w:p>
    <w:p>
      <w:pPr>
        <w:pStyle w:val="Heading1"/>
        <w:spacing w:after="300" w:before="600"/>
      </w:pPr>
      <w:r>
        <w:rPr>
          <w:rFonts w:ascii="Times New Roman" w:cs="Times New Roman" w:eastAsia="Times New Roman" w:hAnsi="Times New Roman"/>
          <w:b/>
          <w:bCs/>
          <w:color w:val="020617"/>
          <w:sz w:val="36"/>
          <w:szCs w:val="36"/>
        </w:rPr>
        <w:t xml:space="preserve">7. Challenges &amp; Mitigation</w:t>
      </w:r>
    </w:p>
    <w:p>
      <w:pPr>
        <w:spacing w:after="100" w:before="100"/>
      </w:pPr>
      <w:r>
        <w:rPr>
          <w:rFonts w:ascii="Calibri" w:cs="Calibri" w:eastAsia="Calibri" w:hAnsi="Calibri"/>
          <w:color w:val="94A3B8"/>
          <w:sz w:val="14"/>
          <w:szCs w:val="14"/>
        </w:rPr>
        <w:t xml:space="preserve">━━━━━━━━━━━━━━━━━━━━━━━━━━━━━━━━━━━━━━━━━━━</w:t>
      </w:r>
    </w:p>
    <w:p>
      <w:pPr>
        <w:spacing w:after="160" w:line="250"/>
        <w:jc w:val="left"/>
      </w:pPr>
      <w:r>
        <w:rPr>
          <w:rFonts w:ascii="Calibri" w:cs="Calibri" w:eastAsia="Calibri" w:hAnsi="Calibri"/>
          <w:color w:val="1E293B"/>
          <w:sz w:val="22"/>
          <w:szCs w:val="22"/>
        </w:rPr>
        <w:t xml:space="preserve">Every venture faces obstacles, and transparent acknowledgment of potential challenges demonstrates both strategic maturity and operational preparedness. Below, we outline the three most significant challenges facing Tunog Kalye Radio and our detailed mitigation strategies for each.</w:t>
      </w:r>
    </w:p>
    <w:p>
      <w:pPr>
        <w:pStyle w:val="Heading2"/>
        <w:spacing w:after="200" w:before="300"/>
      </w:pPr>
      <w:r>
        <w:rPr>
          <w:rFonts w:ascii="Times New Roman" w:cs="Times New Roman" w:eastAsia="Times New Roman" w:hAnsi="Times New Roman"/>
          <w:b/>
          <w:bCs/>
          <w:color w:val="020617"/>
          <w:sz w:val="28"/>
          <w:szCs w:val="28"/>
        </w:rPr>
        <w:t xml:space="preserve">7.1 Licensing Complexities</w:t>
      </w:r>
    </w:p>
    <w:p>
      <w:pPr>
        <w:spacing w:after="160" w:line="250"/>
        <w:jc w:val="left"/>
      </w:pPr>
      <w:r>
        <w:rPr>
          <w:rFonts w:ascii="Calibri" w:cs="Calibri" w:eastAsia="Calibri" w:hAnsi="Calibri"/>
          <w:b/>
          <w:bCs/>
          <w:color w:val="1E293B"/>
          <w:sz w:val="22"/>
          <w:szCs w:val="22"/>
        </w:rPr>
        <w:t xml:space="preserve">Challenge: </w:t>
      </w:r>
      <w:r>
        <w:rPr>
          <w:rFonts w:ascii="Calibri" w:cs="Calibri" w:eastAsia="Calibri" w:hAnsi="Calibri"/>
          <w:color w:val="1E293B"/>
          <w:sz w:val="22"/>
          <w:szCs w:val="22"/>
        </w:rPr>
        <w:t xml:space="preserve">Internet radio broadcasting involves navigating a complex landscape of music licensing requirements, particularly when playing commercially released tracks from established 90s OPM artists who may be represented by major labels or performance rights organizations. Failure to comply with licensing requirements could result in legal action, fines, or forced shutdown of the broadcast.</w:t>
      </w:r>
    </w:p>
    <w:p>
      <w:pPr>
        <w:spacing w:after="160" w:line="250"/>
        <w:jc w:val="left"/>
      </w:pPr>
      <w:r>
        <w:rPr>
          <w:rFonts w:ascii="Calibri" w:cs="Calibri" w:eastAsia="Calibri" w:hAnsi="Calibri"/>
          <w:b/>
          <w:bCs/>
          <w:color w:val="1E293B"/>
          <w:sz w:val="22"/>
          <w:szCs w:val="22"/>
        </w:rPr>
        <w:t xml:space="preserve">Mitigation: </w:t>
      </w:r>
      <w:r>
        <w:rPr>
          <w:rFonts w:ascii="Calibri" w:cs="Calibri" w:eastAsia="Calibri" w:hAnsi="Calibri"/>
          <w:color w:val="1E293B"/>
          <w:sz w:val="22"/>
          <w:szCs w:val="22"/>
        </w:rPr>
        <w:t xml:space="preserve">Our strategy focuses heavily on direct-to-artist submissions from unsigned and independent artists, which bypasses the massive label bureaucracy entirely. For legacy 90s tracks, we utilize standard internet radio licensing through SOCAN (Canada) and ASCAP/BMI (United States), which provide blanket licenses for webcasting at rates specifically designed for small-scale internet radio operations. Our programming ratio is weighted significantly toward independent submissions, minimizing our exposure to label-controlled catalog.</w:t>
      </w:r>
    </w:p>
    <w:p>
      <w:pPr>
        <w:pStyle w:val="Heading2"/>
        <w:spacing w:after="200" w:before="300"/>
      </w:pPr>
      <w:r>
        <w:rPr>
          <w:rFonts w:ascii="Times New Roman" w:cs="Times New Roman" w:eastAsia="Times New Roman" w:hAnsi="Times New Roman"/>
          <w:b/>
          <w:bCs/>
          <w:color w:val="020617"/>
          <w:sz w:val="28"/>
          <w:szCs w:val="28"/>
        </w:rPr>
        <w:t xml:space="preserve">7.2 Listener Retention</w:t>
      </w:r>
    </w:p>
    <w:p>
      <w:pPr>
        <w:spacing w:after="160" w:line="250"/>
        <w:jc w:val="left"/>
      </w:pPr>
      <w:r>
        <w:rPr>
          <w:rFonts w:ascii="Calibri" w:cs="Calibri" w:eastAsia="Calibri" w:hAnsi="Calibri"/>
          <w:b/>
          <w:bCs/>
          <w:color w:val="1E293B"/>
          <w:sz w:val="22"/>
          <w:szCs w:val="22"/>
        </w:rPr>
        <w:t xml:space="preserve">Challenge: </w:t>
      </w:r>
      <w:r>
        <w:rPr>
          <w:rFonts w:ascii="Calibri" w:cs="Calibri" w:eastAsia="Calibri" w:hAnsi="Calibri"/>
          <w:color w:val="1E293B"/>
          <w:sz w:val="22"/>
          <w:szCs w:val="22"/>
        </w:rPr>
        <w:t xml:space="preserve">Passive internet radio listening suffers from high abandonment rates, as listeners can easily switch to alternative platforms or close the browser tab entirely. Building habitual listening behavior requires more than just a good music selection; it requires active engagement mechanisms that make listeners feel personally connected to the station and its community.</w:t>
      </w:r>
    </w:p>
    <w:p>
      <w:pPr>
        <w:spacing w:after="160" w:line="250"/>
        <w:jc w:val="left"/>
      </w:pPr>
      <w:r>
        <w:rPr>
          <w:rFonts w:ascii="Calibri" w:cs="Calibri" w:eastAsia="Calibri" w:hAnsi="Calibri"/>
          <w:b/>
          <w:bCs/>
          <w:color w:val="1E293B"/>
          <w:sz w:val="22"/>
          <w:szCs w:val="22"/>
        </w:rPr>
        <w:t xml:space="preserve">Mitigation: </w:t>
      </w:r>
      <w:r>
        <w:rPr>
          <w:rFonts w:ascii="Calibri" w:cs="Calibri" w:eastAsia="Calibri" w:hAnsi="Calibri"/>
          <w:color w:val="1E293B"/>
          <w:sz w:val="22"/>
          <w:szCs w:val="22"/>
        </w:rPr>
        <w:t xml:space="preserve">We transition listeners from passive consumption to active participation through multiple engagement channels. Mixxx-powered live request shows allow listeners to influence programming in real-time. Our podcast content creates narrative hooks that bring listeners back for subsequent episodes. The Kanto Fund transparency model gives listeners a tangible reason to stay engaged: they know their continued support directly funds the artists they discover through our station. Community features like song dedications, artist shoutouts, and interactive social media polls create ongoing touchpoints that reinforce habitual listening.</w:t>
      </w:r>
    </w:p>
    <w:p>
      <w:pPr>
        <w:pStyle w:val="Heading2"/>
        <w:spacing w:after="200" w:before="300"/>
      </w:pPr>
      <w:r>
        <w:rPr>
          <w:rFonts w:ascii="Times New Roman" w:cs="Times New Roman" w:eastAsia="Times New Roman" w:hAnsi="Times New Roman"/>
          <w:b/>
          <w:bCs/>
          <w:color w:val="020617"/>
          <w:sz w:val="28"/>
          <w:szCs w:val="28"/>
        </w:rPr>
        <w:t xml:space="preserve">7.3 Server Costs at Scale</w:t>
      </w:r>
    </w:p>
    <w:p>
      <w:pPr>
        <w:spacing w:after="160" w:line="250"/>
        <w:jc w:val="left"/>
      </w:pPr>
      <w:r>
        <w:rPr>
          <w:rFonts w:ascii="Calibri" w:cs="Calibri" w:eastAsia="Calibri" w:hAnsi="Calibri"/>
          <w:b/>
          <w:bCs/>
          <w:color w:val="1E293B"/>
          <w:sz w:val="22"/>
          <w:szCs w:val="22"/>
        </w:rPr>
        <w:t xml:space="preserve">Challenge: </w:t>
      </w:r>
      <w:r>
        <w:rPr>
          <w:rFonts w:ascii="Calibri" w:cs="Calibri" w:eastAsia="Calibri" w:hAnsi="Calibri"/>
          <w:color w:val="1E293B"/>
          <w:sz w:val="22"/>
          <w:szCs w:val="22"/>
        </w:rPr>
        <w:t xml:space="preserve">As our listener base grows, the computational and bandwidth costs of maintaining reliable 24/7 streaming will eventually exceed the generous free-tier limits of our current Oracle Cloud infrastructure. Unplanned cost escalation could threaten the financial sustainability of the operation.</w:t>
      </w:r>
    </w:p>
    <w:p>
      <w:pPr>
        <w:spacing w:after="160" w:line="250"/>
        <w:jc w:val="left"/>
      </w:pPr>
      <w:r>
        <w:rPr>
          <w:rFonts w:ascii="Calibri" w:cs="Calibri" w:eastAsia="Calibri" w:hAnsi="Calibri"/>
          <w:b/>
          <w:bCs/>
          <w:color w:val="1E293B"/>
          <w:sz w:val="22"/>
          <w:szCs w:val="22"/>
        </w:rPr>
        <w:t xml:space="preserve">Mitigation: </w:t>
      </w:r>
      <w:r>
        <w:rPr>
          <w:rFonts w:ascii="Calibri" w:cs="Calibri" w:eastAsia="Calibri" w:hAnsi="Calibri"/>
          <w:color w:val="1E293B"/>
          <w:sz w:val="22"/>
          <w:szCs w:val="22"/>
        </w:rPr>
        <w:t xml:space="preserve">Our current Oracle Cloud free-tier infrastructure handles thousands of concurrent listeners, providing significant runway before paid scaling becomes necessary. More importantly, our Dotcompal funnels are designed to generate revenue from the very beginning through sponsorships and donations, establishing a self-funding model that covers hosting costs long before they become a burden. The phased growth approach ensures that infrastructure investment scales proportionally with revenue generation, never outpacing our financial capacity.</w:t>
      </w:r>
    </w:p>
    <w:p>
      <w:pPr>
        <w:spacing w:after="0" w:before="200"/>
      </w:pPr>
      <w:r>
        <w:t xml:space="preserve"/>
      </w:r>
    </w:p>
    <w:p>
      <w:pPr>
        <w:pStyle w:val="Heading1"/>
        <w:spacing w:after="300" w:before="600"/>
      </w:pPr>
      <w:r>
        <w:rPr>
          <w:rFonts w:ascii="Times New Roman" w:cs="Times New Roman" w:eastAsia="Times New Roman" w:hAnsi="Times New Roman"/>
          <w:b/>
          <w:bCs/>
          <w:color w:val="020617"/>
          <w:sz w:val="36"/>
          <w:szCs w:val="36"/>
        </w:rPr>
        <w:t xml:space="preserve">8. Dotcompal Funnel Strategy</w:t>
      </w:r>
    </w:p>
    <w:p>
      <w:pPr>
        <w:spacing w:after="100" w:before="100"/>
      </w:pPr>
      <w:r>
        <w:rPr>
          <w:rFonts w:ascii="Calibri" w:cs="Calibri" w:eastAsia="Calibri" w:hAnsi="Calibri"/>
          <w:color w:val="94A3B8"/>
          <w:sz w:val="14"/>
          <w:szCs w:val="14"/>
        </w:rPr>
        <w:t xml:space="preserve">━━━━━━━━━━━━━━━━━━━━━━━━━━━━━━━━━━━━━━━━━━━</w:t>
      </w:r>
    </w:p>
    <w:p>
      <w:pPr>
        <w:spacing w:after="160" w:line="250"/>
        <w:jc w:val="left"/>
      </w:pPr>
      <w:r>
        <w:rPr>
          <w:rFonts w:ascii="Calibri" w:cs="Calibri" w:eastAsia="Calibri" w:hAnsi="Calibri"/>
          <w:color w:val="1E293B"/>
          <w:sz w:val="22"/>
          <w:szCs w:val="22"/>
        </w:rPr>
        <w:t xml:space="preserve">For Tunog Kalye Radio, Dotcompal funnels serve as much more than e-commerce pages; they are data collection machines that systematically capture, nurture, and convert three distinct audience segments: independent artists seeking airplay, local businesses seeking advertising opportunities, and passionate fans seeking to support the station. Each funnel is designed with a specific conversion goal and built using proven direct-response marketing principles.</w:t>
      </w:r>
    </w:p>
    <w:p>
      <w:pPr>
        <w:pStyle w:val="Heading2"/>
        <w:spacing w:after="200" w:before="300"/>
      </w:pPr>
      <w:r>
        <w:rPr>
          <w:rFonts w:ascii="Times New Roman" w:cs="Times New Roman" w:eastAsia="Times New Roman" w:hAnsi="Times New Roman"/>
          <w:b/>
          <w:bCs/>
          <w:color w:val="020617"/>
          <w:sz w:val="28"/>
          <w:szCs w:val="28"/>
        </w:rPr>
        <w:t xml:space="preserve">8.1 Funnel 1: "Submit Your Music" (Critical Priority)</w:t>
      </w:r>
    </w:p>
    <w:p>
      <w:pPr>
        <w:spacing w:after="160" w:line="250"/>
        <w:jc w:val="left"/>
      </w:pPr>
      <w:r>
        <w:rPr>
          <w:rFonts w:ascii="Calibri" w:cs="Calibri" w:eastAsia="Calibri" w:hAnsi="Calibri"/>
          <w:color w:val="1E293B"/>
          <w:sz w:val="22"/>
          <w:szCs w:val="22"/>
        </w:rPr>
        <w:t xml:space="preserve">This funnel addresses the most urgent operational need: replacing ad-hoc Facebook Messenger submissions with a systematic, trackable artist acquisition pipeline. Currently, bands reach out through Facebook's private messaging system, where algorithmic filtering causes messages to be missed and makes it impossible to maintain a organized database of submissions. The Submit Your Music funnel solves this problem permanently while simultaneously building our most valuable marketing asset: a permission-based email list of independent Filipino artists.</w:t>
      </w:r>
    </w:p>
    <w:p>
      <w:pPr>
        <w:pStyle w:val="ListParagraph"/>
        <w:numPr>
          <w:ilvl w:val="0"/>
          <w:numId w:val="7"/>
        </w:numPr>
        <w:spacing w:after="100" w:line="250"/>
      </w:pPr>
      <w:r>
        <w:rPr>
          <w:rFonts w:ascii="Calibri" w:cs="Calibri" w:eastAsia="Calibri" w:hAnsi="Calibri"/>
          <w:color w:val="1E293B"/>
          <w:sz w:val="22"/>
          <w:szCs w:val="22"/>
        </w:rPr>
        <w:t xml:space="preserve">Page 1 (Hook): A high-impact landing page featuring branded artwork with the headline: "ATTENTION LOCAL PINOY BANDS: Get your music played on 24/7 Global Radio."</w:t>
      </w:r>
    </w:p>
    <w:p>
      <w:pPr>
        <w:pStyle w:val="ListParagraph"/>
        <w:numPr>
          <w:ilvl w:val="0"/>
          <w:numId w:val="7"/>
        </w:numPr>
        <w:spacing w:after="100" w:line="250"/>
      </w:pPr>
      <w:r>
        <w:rPr>
          <w:rFonts w:ascii="Calibri" w:cs="Calibri" w:eastAsia="Calibri" w:hAnsi="Calibri"/>
          <w:color w:val="1E293B"/>
          <w:sz w:val="22"/>
          <w:szCs w:val="22"/>
        </w:rPr>
        <w:t xml:space="preserve">Page 2 (Form): A structured submission form collecting Band Name, Real Name, Email Address, Spotify/SoundCloud Link, and City/Location.</w:t>
      </w:r>
    </w:p>
    <w:p>
      <w:pPr>
        <w:pStyle w:val="ListParagraph"/>
        <w:numPr>
          <w:ilvl w:val="0"/>
          <w:numId w:val="7"/>
        </w:numPr>
        <w:spacing w:after="100" w:line="250"/>
      </w:pPr>
      <w:r>
        <w:rPr>
          <w:rFonts w:ascii="Calibri" w:cs="Calibri" w:eastAsia="Calibri" w:hAnsi="Calibri"/>
          <w:color w:val="1E293B"/>
          <w:sz w:val="22"/>
          <w:szCs w:val="22"/>
        </w:rPr>
        <w:t xml:space="preserve">Page 3 (Thank You): A confirmation page stating "We got your demo! We will review it this week. While you wait, listen to the station live!" with a direct stream link.</w:t>
      </w:r>
    </w:p>
    <w:p>
      <w:pPr>
        <w:spacing w:after="160" w:line="250"/>
        <w:jc w:val="left"/>
      </w:pPr>
      <w:r>
        <w:rPr>
          <w:rFonts w:ascii="Calibri" w:cs="Calibri" w:eastAsia="Calibri" w:hAnsi="Calibri"/>
          <w:b/>
          <w:bCs/>
          <w:i/>
          <w:iCs/>
          <w:color w:val="1E293B"/>
          <w:sz w:val="22"/>
          <w:szCs w:val="22"/>
        </w:rPr>
        <w:t xml:space="preserve">The Strategic Magic: </w:t>
      </w:r>
      <w:r>
        <w:rPr>
          <w:rFonts w:ascii="Calibri" w:cs="Calibri" w:eastAsia="Calibri" w:hAnsi="Calibri"/>
          <w:color w:val="1E293B"/>
          <w:sz w:val="22"/>
          <w:szCs w:val="22"/>
        </w:rPr>
        <w:t xml:space="preserve">Once we play an artist's song, we can email them directly: "Hey, your song is on air RIGHT NOW. Share this link with your fans!" This transforms every artist into an active promoter of our station, creating a self-sustaining growth loop.</w:t>
      </w:r>
    </w:p>
    <w:p>
      <w:pPr>
        <w:pStyle w:val="Heading2"/>
        <w:spacing w:after="200" w:before="300"/>
      </w:pPr>
      <w:r>
        <w:rPr>
          <w:rFonts w:ascii="Times New Roman" w:cs="Times New Roman" w:eastAsia="Times New Roman" w:hAnsi="Times New Roman"/>
          <w:b/>
          <w:bCs/>
          <w:color w:val="020617"/>
          <w:sz w:val="28"/>
          <w:szCs w:val="28"/>
        </w:rPr>
        <w:t xml:space="preserve">8.2 Funnel 2: "Sponsor My Station" (Monetization)</w:t>
      </w:r>
    </w:p>
    <w:p>
      <w:pPr>
        <w:spacing w:after="160" w:line="250"/>
        <w:jc w:val="left"/>
      </w:pPr>
      <w:r>
        <w:rPr>
          <w:rFonts w:ascii="Calibri" w:cs="Calibri" w:eastAsia="Calibri" w:hAnsi="Calibri"/>
          <w:color w:val="1E293B"/>
          <w:sz w:val="22"/>
          <w:szCs w:val="22"/>
        </w:rPr>
        <w:t xml:space="preserve">This hidden funnel is designed to be sent directly to local businesses, primarily Filipino restaurants in Surrey BC, local guitar shops, event promoters, and other businesses targeting the Filipino-Canadian demographic. It presents Tunog Kalye as a targeted advertising opportunity with measurable reach and engaged listeners.</w:t>
      </w:r>
    </w:p>
    <w:p>
      <w:pPr>
        <w:pStyle w:val="ListParagraph"/>
        <w:numPr>
          <w:ilvl w:val="0"/>
          <w:numId w:val="8"/>
        </w:numPr>
        <w:spacing w:after="100" w:line="250"/>
      </w:pPr>
      <w:r>
        <w:rPr>
          <w:rFonts w:ascii="Calibri" w:cs="Calibri" w:eastAsia="Calibri" w:hAnsi="Calibri"/>
          <w:color w:val="1E293B"/>
          <w:sz w:val="22"/>
          <w:szCs w:val="22"/>
        </w:rPr>
        <w:t xml:space="preserve">Page 1: Professional landing page with headline: "Advertise on Tunog Kalye Radio. Reach the Filipino diaspora and 90s OPM lovers 24/7."</w:t>
      </w:r>
    </w:p>
    <w:p>
      <w:pPr>
        <w:pStyle w:val="ListParagraph"/>
        <w:numPr>
          <w:ilvl w:val="0"/>
          <w:numId w:val="8"/>
        </w:numPr>
        <w:spacing w:after="100" w:line="250"/>
      </w:pPr>
      <w:r>
        <w:rPr>
          <w:rFonts w:ascii="Calibri" w:cs="Calibri" w:eastAsia="Calibri" w:hAnsi="Calibri"/>
          <w:color w:val="1E293B"/>
          <w:sz w:val="22"/>
          <w:szCs w:val="22"/>
        </w:rPr>
        <w:t xml:space="preserve">Page 2: Statistics page showing current listener counts, Facebook reach metrics, and a mock-up of what their branded radio ad and website banner will look like.</w:t>
      </w:r>
    </w:p>
    <w:p>
      <w:pPr>
        <w:pStyle w:val="ListParagraph"/>
        <w:numPr>
          <w:ilvl w:val="0"/>
          <w:numId w:val="8"/>
        </w:numPr>
        <w:spacing w:after="100" w:line="250"/>
      </w:pPr>
      <w:r>
        <w:rPr>
          <w:rFonts w:ascii="Calibri" w:cs="Calibri" w:eastAsia="Calibri" w:hAnsi="Calibri"/>
          <w:color w:val="1E293B"/>
          <w:sz w:val="22"/>
          <w:szCs w:val="22"/>
        </w:rPr>
        <w:t xml:space="preserve">Page 3: Transparent pricing page with tiered options (e.g., $50/month for on-air shoutout, $100/month for dedicated website banner placement).</w:t>
      </w:r>
    </w:p>
    <w:p>
      <w:pPr>
        <w:pStyle w:val="ListParagraph"/>
        <w:numPr>
          <w:ilvl w:val="0"/>
          <w:numId w:val="8"/>
        </w:numPr>
        <w:spacing w:after="100" w:line="250"/>
      </w:pPr>
      <w:r>
        <w:rPr>
          <w:rFonts w:ascii="Calibri" w:cs="Calibri" w:eastAsia="Calibri" w:hAnsi="Calibri"/>
          <w:color w:val="1E293B"/>
          <w:sz w:val="22"/>
          <w:szCs w:val="22"/>
        </w:rPr>
        <w:t xml:space="preserve">Page 4: Secure checkout via Stripe or PayPal integration.</w:t>
      </w:r>
    </w:p>
    <w:p>
      <w:pPr>
        <w:pStyle w:val="Heading2"/>
        <w:spacing w:after="200" w:before="300"/>
      </w:pPr>
      <w:r>
        <w:rPr>
          <w:rFonts w:ascii="Times New Roman" w:cs="Times New Roman" w:eastAsia="Times New Roman" w:hAnsi="Times New Roman"/>
          <w:b/>
          <w:bCs/>
          <w:color w:val="020617"/>
          <w:sz w:val="28"/>
          <w:szCs w:val="28"/>
        </w:rPr>
        <w:t xml:space="preserve">8.3 Funnel 3: "Super Fan / Donations" (Community Funding)</w:t>
      </w:r>
    </w:p>
    <w:p>
      <w:pPr>
        <w:spacing w:after="160" w:line="250"/>
        <w:jc w:val="left"/>
      </w:pPr>
      <w:r>
        <w:rPr>
          <w:rFonts w:ascii="Calibri" w:cs="Calibri" w:eastAsia="Calibri" w:hAnsi="Calibri"/>
          <w:color w:val="1E293B"/>
          <w:sz w:val="22"/>
          <w:szCs w:val="22"/>
        </w:rPr>
        <w:t xml:space="preserve">While Tunog Kalye provides free streaming to all listeners, we recognize that a segment of our audience wants to actively contribute to the station's mission and sustainability. The Super Fan funnel provides these passionate supporters with a frictionless way to make financial contributions at multiple giving tiers.</w:t>
      </w:r>
    </w:p>
    <w:p>
      <w:pPr>
        <w:pStyle w:val="ListParagraph"/>
        <w:numPr>
          <w:ilvl w:val="0"/>
          <w:numId w:val="9"/>
        </w:numPr>
        <w:spacing w:after="100" w:line="250"/>
      </w:pPr>
      <w:r>
        <w:rPr>
          <w:rFonts w:ascii="Calibri" w:cs="Calibri" w:eastAsia="Calibri" w:hAnsi="Calibri"/>
          <w:color w:val="1E293B"/>
          <w:sz w:val="22"/>
          <w:szCs w:val="22"/>
        </w:rPr>
        <w:t xml:space="preserve">Page 1: Emotionally compelling landing page with headline: "Keep the Kanto Alive. Support Independent OPM."</w:t>
      </w:r>
    </w:p>
    <w:p>
      <w:pPr>
        <w:pStyle w:val="ListParagraph"/>
        <w:numPr>
          <w:ilvl w:val="0"/>
          <w:numId w:val="9"/>
        </w:numPr>
        <w:spacing w:after="100" w:line="250"/>
      </w:pPr>
      <w:r>
        <w:rPr>
          <w:rFonts w:ascii="Calibri" w:cs="Calibri" w:eastAsia="Calibri" w:hAnsi="Calibri"/>
          <w:color w:val="1E293B"/>
          <w:sz w:val="22"/>
          <w:szCs w:val="22"/>
        </w:rPr>
        <w:t xml:space="preserve">Page 2: Multiple giving options displayed clearly: "Buy us a coffee ($5)" or "Sponsor an hour of radio ($20)" with descriptions of how each contribution level impacts the station and its artists.</w:t>
      </w:r>
    </w:p>
    <w:p>
      <w:pPr>
        <w:spacing w:after="0" w:before="200"/>
      </w:pPr>
      <w:r>
        <w:t xml:space="preserve"/>
      </w:r>
    </w:p>
    <w:p>
      <w:pPr>
        <w:pStyle w:val="Heading1"/>
        <w:spacing w:after="300" w:before="600"/>
      </w:pPr>
      <w:r>
        <w:rPr>
          <w:rFonts w:ascii="Times New Roman" w:cs="Times New Roman" w:eastAsia="Times New Roman" w:hAnsi="Times New Roman"/>
          <w:b/>
          <w:bCs/>
          <w:color w:val="020617"/>
          <w:sz w:val="36"/>
          <w:szCs w:val="36"/>
        </w:rPr>
        <w:t xml:space="preserve">9. Platform Integration &amp; Linking Strategy</w:t>
      </w:r>
    </w:p>
    <w:p>
      <w:pPr>
        <w:spacing w:after="100" w:before="100"/>
      </w:pPr>
      <w:r>
        <w:rPr>
          <w:rFonts w:ascii="Calibri" w:cs="Calibri" w:eastAsia="Calibri" w:hAnsi="Calibri"/>
          <w:color w:val="94A3B8"/>
          <w:sz w:val="14"/>
          <w:szCs w:val="14"/>
        </w:rPr>
        <w:t xml:space="preserve">━━━━━━━━━━━━━━━━━━━━━━━━━━━━━━━━━━━━━━━━━━━</w:t>
      </w:r>
    </w:p>
    <w:p>
      <w:pPr>
        <w:spacing w:after="160" w:line="250"/>
        <w:jc w:val="left"/>
      </w:pPr>
      <w:r>
        <w:rPr>
          <w:rFonts w:ascii="Calibri" w:cs="Calibri" w:eastAsia="Calibri" w:hAnsi="Calibri"/>
          <w:color w:val="1E293B"/>
          <w:sz w:val="22"/>
          <w:szCs w:val="22"/>
        </w:rPr>
        <w:t xml:space="preserve">The true power of our funnel strategy is realized only when every platform touchpoint is interconnected, creating a seamless ecosystem that captures artists, engages listeners, and converts sponsors at every opportunity. The following integration plan ensures maximum visibility and conversion across all Tunog Kalye digital properties.</w:t>
      </w:r>
    </w:p>
    <w:p>
      <w:pPr>
        <w:pStyle w:val="ListParagraph"/>
        <w:numPr>
          <w:ilvl w:val="0"/>
          <w:numId w:val="10"/>
        </w:numPr>
        <w:spacing w:after="100" w:line="250"/>
      </w:pPr>
      <w:r>
        <w:rPr>
          <w:rFonts w:ascii="Calibri" w:cs="Calibri" w:eastAsia="Calibri" w:hAnsi="Calibri"/>
          <w:color w:val="1E293B"/>
          <w:sz w:val="22"/>
          <w:szCs w:val="22"/>
        </w:rPr>
        <w:t xml:space="preserve">AzuraCast Integration: Add a custom HTML widget to the AzuraCast public page sidebar displaying: "ARE YOU A LOCAL ARTIST? SUBMIT YOUR MUSIC HERE" with a direct link to the Submit Your Music funnel.</w:t>
      </w:r>
    </w:p>
    <w:p>
      <w:pPr>
        <w:pStyle w:val="ListParagraph"/>
        <w:numPr>
          <w:ilvl w:val="0"/>
          <w:numId w:val="10"/>
        </w:numPr>
        <w:spacing w:after="100" w:line="250"/>
      </w:pPr>
      <w:r>
        <w:rPr>
          <w:rFonts w:ascii="Calibri" w:cs="Calibri" w:eastAsia="Calibri" w:hAnsi="Calibri"/>
          <w:color w:val="1E293B"/>
          <w:sz w:val="22"/>
          <w:szCs w:val="22"/>
        </w:rPr>
        <w:t xml:space="preserve">Facebook Optimization: Configure the primary "Listen Now" button to direct to tunogkalye.net, while adding a secondary "Submit Music" button linking directly to Funnel 1.</w:t>
      </w:r>
    </w:p>
    <w:p>
      <w:pPr>
        <w:pStyle w:val="ListParagraph"/>
        <w:numPr>
          <w:ilvl w:val="0"/>
          <w:numId w:val="10"/>
        </w:numPr>
        <w:spacing w:after="100" w:line="250"/>
      </w:pPr>
      <w:r>
        <w:rPr>
          <w:rFonts w:ascii="Calibri" w:cs="Calibri" w:eastAsia="Calibri" w:hAnsi="Calibri"/>
          <w:color w:val="1E293B"/>
          <w:sz w:val="22"/>
          <w:szCs w:val="22"/>
        </w:rPr>
        <w:t xml:space="preserve">Video Hub Branding: Place a persistent banner at the top of video.tunogkalye.net with the message "Support Our Station" linking to the Super Fan donation funnel.</w:t>
      </w:r>
    </w:p>
    <w:p>
      <w:pPr>
        <w:pStyle w:val="ListParagraph"/>
        <w:numPr>
          <w:ilvl w:val="0"/>
          <w:numId w:val="10"/>
        </w:numPr>
        <w:spacing w:after="100" w:line="250"/>
      </w:pPr>
      <w:r>
        <w:rPr>
          <w:rFonts w:ascii="Calibri" w:cs="Calibri" w:eastAsia="Calibri" w:hAnsi="Calibri"/>
          <w:color w:val="1E293B"/>
          <w:sz w:val="22"/>
          <w:szCs w:val="22"/>
        </w:rPr>
        <w:t xml:space="preserve">Email Signature &amp; Newsletter: Every outgoing email from Tunog Kalye includes footer links to all three funnels, ensuring consistent visibility across all communications.</w:t>
      </w:r>
    </w:p>
    <w:p>
      <w:pPr>
        <w:spacing w:after="0" w:before="100"/>
      </w:pPr>
      <w:r>
        <w:t xml:space="preserve"/>
      </w:r>
    </w:p>
    <w:p>
      <w:pPr>
        <w:spacing w:after="160" w:line="250"/>
        <w:jc w:val="left"/>
      </w:pPr>
      <w:r>
        <w:rPr>
          <w:rFonts w:ascii="Calibri" w:cs="Calibri" w:eastAsia="Calibri" w:hAnsi="Calibri"/>
          <w:b/>
          <w:bCs/>
          <w:color w:val="1E293B"/>
          <w:sz w:val="22"/>
          <w:szCs w:val="22"/>
        </w:rPr>
        <w:t xml:space="preserve">The Result: </w:t>
      </w:r>
      <w:r>
        <w:rPr>
          <w:rFonts w:ascii="Calibri" w:cs="Calibri" w:eastAsia="Calibri" w:hAnsi="Calibri"/>
          <w:color w:val="1E293B"/>
          <w:sz w:val="22"/>
          <w:szCs w:val="22"/>
        </w:rPr>
        <w:t xml:space="preserve">Tunog Kalye Radio is no longer just a radio station playing music. It becomes a fully integrated digital media funnel that systematically captures artist submissions, converts local business sponsors, and grows its listener base automatically through the organic promotion efforts of both artists and fans. Every interaction becomes a data point, every listener becomes a potential promoter, and every business becomes a potential sponsor.</w:t>
      </w:r>
    </w:p>
    <w:p>
      <w:pPr>
        <w:spacing w:after="0" w:before="200"/>
      </w:pPr>
      <w:r>
        <w:t xml:space="preserve"/>
      </w:r>
    </w:p>
    <w:p>
      <w:pPr>
        <w:pStyle w:val="Heading1"/>
        <w:spacing w:after="300" w:before="600"/>
      </w:pPr>
      <w:r>
        <w:rPr>
          <w:rFonts w:ascii="Times New Roman" w:cs="Times New Roman" w:eastAsia="Times New Roman" w:hAnsi="Times New Roman"/>
          <w:b/>
          <w:bCs/>
          <w:color w:val="020617"/>
          <w:sz w:val="36"/>
          <w:szCs w:val="36"/>
        </w:rPr>
        <w:t xml:space="preserve">10. Immediate Action Items</w:t>
      </w:r>
    </w:p>
    <w:p>
      <w:pPr>
        <w:spacing w:after="100" w:before="100"/>
      </w:pPr>
      <w:r>
        <w:rPr>
          <w:rFonts w:ascii="Calibri" w:cs="Calibri" w:eastAsia="Calibri" w:hAnsi="Calibri"/>
          <w:color w:val="94A3B8"/>
          <w:sz w:val="14"/>
          <w:szCs w:val="14"/>
        </w:rPr>
        <w:t xml:space="preserve">━━━━━━━━━━━━━━━━━━━━━━━━━━━━━━━━━━━━━━━━━━━</w:t>
      </w:r>
    </w:p>
    <w:p>
      <w:pPr>
        <w:spacing w:after="160" w:line="250"/>
        <w:jc w:val="left"/>
      </w:pPr>
      <w:r>
        <w:rPr>
          <w:rFonts w:ascii="Calibri" w:cs="Calibri" w:eastAsia="Calibri" w:hAnsi="Calibri"/>
          <w:color w:val="1E293B"/>
          <w:sz w:val="22"/>
          <w:szCs w:val="22"/>
        </w:rPr>
        <w:t xml:space="preserve">With the strategic foundation now established, the following prioritized action items represent the critical first steps for transforming this vision into operational reality. Each item has been selected based on its potential for immediate impact and its role in building the infrastructure required for subsequent growth phases.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1400"/>
        <w:gridCol w:w="2800"/>
        <w:gridCol w:w="1600"/>
        <w:gridCol w:w="3560"/>
      </w:tblGrid>
      <w:tr>
        <w:trPr>
          <w:tblHeader/>
        </w:trPr>
        <w:tc>
          <w:tcPr>
            <w:tcW w:type="dxa" w:w="1400"/>
            <w:tcBorders>
              <w:top w:val="single" w:color="020617" w:sz="12"/>
              <w:left w:val="none" w:color="FFFFFF" w:sz="0"/>
              <w:bottom w:val="single" w:color="020617" w:sz="12"/>
              <w:right w:val="none" w:color="FFFFFF" w:sz="0"/>
            </w:tcBorders>
            <w:shd w:fill="0F172A" w:val="clear"/>
            <w:vAlign w:val="center"/>
          </w:tcPr>
          <w:p>
            <w:pPr>
              <w:jc w:val="center"/>
            </w:pPr>
            <w:r>
              <w:rPr>
                <w:rFonts w:ascii="Calibri" w:cs="Calibri" w:eastAsia="Calibri" w:hAnsi="Calibri"/>
                <w:b/>
                <w:bCs/>
                <w:color w:val="FFFFFF"/>
                <w:sz w:val="20"/>
                <w:szCs w:val="20"/>
              </w:rPr>
              <w:t xml:space="preserve">Priority</w:t>
            </w:r>
          </w:p>
        </w:tc>
        <w:tc>
          <w:tcPr>
            <w:tcW w:type="dxa" w:w="2800"/>
            <w:tcBorders>
              <w:top w:val="single" w:color="020617" w:sz="12"/>
              <w:left w:val="none" w:color="FFFFFF" w:sz="0"/>
              <w:bottom w:val="single" w:color="020617" w:sz="12"/>
              <w:right w:val="none" w:color="FFFFFF" w:sz="0"/>
            </w:tcBorders>
            <w:shd w:fill="0F172A" w:val="clear"/>
            <w:vAlign w:val="center"/>
          </w:tcPr>
          <w:p>
            <w:pPr>
              <w:jc w:val="center"/>
            </w:pPr>
            <w:r>
              <w:rPr>
                <w:rFonts w:ascii="Calibri" w:cs="Calibri" w:eastAsia="Calibri" w:hAnsi="Calibri"/>
                <w:b/>
                <w:bCs/>
                <w:color w:val="FFFFFF"/>
                <w:sz w:val="20"/>
                <w:szCs w:val="20"/>
              </w:rPr>
              <w:t xml:space="preserve">Action Item</w:t>
            </w:r>
          </w:p>
        </w:tc>
        <w:tc>
          <w:tcPr>
            <w:tcW w:type="dxa" w:w="1600"/>
            <w:tcBorders>
              <w:top w:val="single" w:color="020617" w:sz="12"/>
              <w:left w:val="none" w:color="FFFFFF" w:sz="0"/>
              <w:bottom w:val="single" w:color="020617" w:sz="12"/>
              <w:right w:val="none" w:color="FFFFFF" w:sz="0"/>
            </w:tcBorders>
            <w:shd w:fill="0F172A" w:val="clear"/>
            <w:vAlign w:val="center"/>
          </w:tcPr>
          <w:p>
            <w:pPr>
              <w:jc w:val="center"/>
            </w:pPr>
            <w:r>
              <w:rPr>
                <w:rFonts w:ascii="Calibri" w:cs="Calibri" w:eastAsia="Calibri" w:hAnsi="Calibri"/>
                <w:b/>
                <w:bCs/>
                <w:color w:val="FFFFFF"/>
                <w:sz w:val="20"/>
                <w:szCs w:val="20"/>
              </w:rPr>
              <w:t xml:space="preserve">Platform</w:t>
            </w:r>
          </w:p>
        </w:tc>
        <w:tc>
          <w:tcPr>
            <w:tcW w:type="dxa" w:w="3560"/>
            <w:tcBorders>
              <w:top w:val="single" w:color="020617" w:sz="12"/>
              <w:left w:val="none" w:color="FFFFFF" w:sz="0"/>
              <w:bottom w:val="single" w:color="020617" w:sz="12"/>
              <w:right w:val="none" w:color="FFFFFF" w:sz="0"/>
            </w:tcBorders>
            <w:shd w:fill="0F172A" w:val="clear"/>
            <w:vAlign w:val="center"/>
          </w:tcPr>
          <w:p>
            <w:pPr>
              <w:jc w:val="center"/>
            </w:pPr>
            <w:r>
              <w:rPr>
                <w:rFonts w:ascii="Calibri" w:cs="Calibri" w:eastAsia="Calibri" w:hAnsi="Calibri"/>
                <w:b/>
                <w:bCs/>
                <w:color w:val="FFFFFF"/>
                <w:sz w:val="20"/>
                <w:szCs w:val="20"/>
              </w:rPr>
              <w:t xml:space="preserve">Expected Outcome</w:t>
            </w:r>
          </w:p>
        </w:tc>
      </w:tr>
      <w:tr>
        <w:tc>
          <w:tcPr>
            <w:tcW w:type="dxa" w:w="14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1 (CRITICAL)</w:t>
            </w:r>
          </w:p>
        </w:tc>
        <w:tc>
          <w:tcPr>
            <w:tcW w:type="dxa" w:w="28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Build the "Submit Your Music" funnel</w:t>
            </w:r>
          </w:p>
        </w:tc>
        <w:tc>
          <w:tcPr>
            <w:tcW w:type="dxa" w:w="16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Dotcompal</w:t>
            </w:r>
          </w:p>
        </w:tc>
        <w:tc>
          <w:tcPr>
            <w:tcW w:type="dxa" w:w="356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Systematic artist database &amp; email list</w:t>
            </w:r>
          </w:p>
        </w:tc>
      </w:tr>
      <w:tr>
        <w:tc>
          <w:tcPr>
            <w:tcW w:type="dxa" w:w="14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2 (HIGH)</w:t>
            </w:r>
          </w:p>
        </w:tc>
        <w:tc>
          <w:tcPr>
            <w:tcW w:type="dxa" w:w="28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Configure AzuraCast sidebar widget</w:t>
            </w:r>
          </w:p>
        </w:tc>
        <w:tc>
          <w:tcPr>
            <w:tcW w:type="dxa" w:w="16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AzuraCast</w:t>
            </w:r>
          </w:p>
        </w:tc>
        <w:tc>
          <w:tcPr>
            <w:tcW w:type="dxa" w:w="356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Artist funnel visibility on station page</w:t>
            </w:r>
          </w:p>
        </w:tc>
      </w:tr>
      <w:tr>
        <w:tc>
          <w:tcPr>
            <w:tcW w:type="dxa" w:w="14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3 (HIGH)</w:t>
            </w:r>
          </w:p>
        </w:tc>
        <w:tc>
          <w:tcPr>
            <w:tcW w:type="dxa" w:w="28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Set up Facebook "Submit Music" button</w:t>
            </w:r>
          </w:p>
        </w:tc>
        <w:tc>
          <w:tcPr>
            <w:tcW w:type="dxa" w:w="16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Facebook</w:t>
            </w:r>
          </w:p>
        </w:tc>
        <w:tc>
          <w:tcPr>
            <w:tcW w:type="dxa" w:w="356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Social media artist acquisition channel</w:t>
            </w:r>
          </w:p>
        </w:tc>
      </w:tr>
      <w:tr>
        <w:tc>
          <w:tcPr>
            <w:tcW w:type="dxa" w:w="14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4 (MEDIUM)</w:t>
            </w:r>
          </w:p>
        </w:tc>
        <w:tc>
          <w:tcPr>
            <w:tcW w:type="dxa" w:w="28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Build the "Sponsor My Station" funnel</w:t>
            </w:r>
          </w:p>
        </w:tc>
        <w:tc>
          <w:tcPr>
            <w:tcW w:type="dxa" w:w="16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Dotcompal</w:t>
            </w:r>
          </w:p>
        </w:tc>
        <w:tc>
          <w:tcPr>
            <w:tcW w:type="dxa" w:w="356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Revenue generation from local businesses</w:t>
            </w:r>
          </w:p>
        </w:tc>
      </w:tr>
      <w:tr>
        <w:tc>
          <w:tcPr>
            <w:tcW w:type="dxa" w:w="14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5 (MEDIUM)</w:t>
            </w:r>
          </w:p>
        </w:tc>
        <w:tc>
          <w:tcPr>
            <w:tcW w:type="dxa" w:w="28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Launch "Super Fan" donation funnel</w:t>
            </w:r>
          </w:p>
        </w:tc>
        <w:tc>
          <w:tcPr>
            <w:tcW w:type="dxa" w:w="16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Dotcompal</w:t>
            </w:r>
          </w:p>
        </w:tc>
        <w:tc>
          <w:tcPr>
            <w:tcW w:type="dxa" w:w="356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Community funding stream activation</w:t>
            </w:r>
          </w:p>
        </w:tc>
      </w:tr>
      <w:tr>
        <w:tc>
          <w:tcPr>
            <w:tcW w:type="dxa" w:w="14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6 (MEDIUM)</w:t>
            </w:r>
          </w:p>
        </w:tc>
        <w:tc>
          <w:tcPr>
            <w:tcW w:type="dxa" w:w="28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Begin SEO targeting for core keywords</w:t>
            </w:r>
          </w:p>
        </w:tc>
        <w:tc>
          <w:tcPr>
            <w:tcW w:type="dxa" w:w="16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Website/Social</w:t>
            </w:r>
          </w:p>
        </w:tc>
        <w:tc>
          <w:tcPr>
            <w:tcW w:type="dxa" w:w="356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Organic search discoverability</w:t>
            </w:r>
          </w:p>
        </w:tc>
      </w:tr>
      <w:tr>
        <w:tc>
          <w:tcPr>
            <w:tcW w:type="dxa" w:w="14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7 (ONGOING)</w:t>
            </w:r>
          </w:p>
        </w:tc>
        <w:tc>
          <w:tcPr>
            <w:tcW w:type="dxa" w:w="28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Create TikTok/Reels nostalgia content library</w:t>
            </w:r>
          </w:p>
        </w:tc>
        <w:tc>
          <w:tcPr>
            <w:tcW w:type="dxa" w:w="160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Social Media</w:t>
            </w:r>
          </w:p>
        </w:tc>
        <w:tc>
          <w:tcPr>
            <w:tcW w:type="dxa" w:w="3560"/>
            <w:tcBorders>
              <w:top w:val="single" w:color="94A3B8" w:sz="6"/>
              <w:left w:val="none" w:color="FFFFFF" w:sz="0"/>
              <w:bottom w:val="single" w:color="94A3B8" w:sz="6"/>
              <w:right w:val="none" w:color="FFFFFF" w:sz="0"/>
            </w:tcBorders>
            <w:vAlign w:val="center"/>
          </w:tcPr>
          <w:p>
            <w:pPr>
              <w:spacing w:line="250"/>
            </w:pPr>
            <w:r>
              <w:rPr>
                <w:rFonts w:ascii="Calibri" w:cs="Calibri" w:eastAsia="Calibri" w:hAnsi="Calibri"/>
                <w:color w:val="1E293B"/>
                <w:sz w:val="20"/>
                <w:szCs w:val="20"/>
              </w:rPr>
              <w:t xml:space="preserve">Viral traffic generation</w:t>
            </w:r>
          </w:p>
        </w:tc>
      </w:tr>
    </w:tbl>
    <w:p>
      <w:pPr>
        <w:spacing w:after="200" w:before="60"/>
        <w:jc w:val="center"/>
      </w:pPr>
      <w:r>
        <w:rPr>
          <w:rFonts w:ascii="Calibri" w:cs="Calibri" w:eastAsia="Calibri" w:hAnsi="Calibri"/>
          <w:i/>
          <w:iCs/>
          <w:color w:val="64748B"/>
          <w:sz w:val="18"/>
          <w:szCs w:val="18"/>
        </w:rPr>
        <w:t xml:space="preserve">Table 4: Prioritized Action Items</w:t>
      </w:r>
    </w:p>
    <w:p>
      <w:pPr>
        <w:sectPr>
          <w:headerReference w:type="default" r:id="rId9"/>
          <w:footerReference w:type="default" r:id="rId10"/>
          <w:pgSz w:w="11906" w:h="16838" w:orient="portrait"/>
          <w:pgMar w:top="1800" w:right="1440" w:bottom="1440" w:left="1440" w:header="708" w:footer="708" w:gutter="0"/>
          <w:pgNumType/>
          <w:docGrid w:linePitch="360"/>
        </w:sectPr>
      </w:pPr>
    </w:p>
    <w:p>
      <w:pPr>
        <w:spacing w:after="0" w:before="5000"/>
      </w:pPr>
      <w:r>
        <w:t xml:space="preserve"/>
      </w:r>
    </w:p>
    <w:p>
      <w:pPr>
        <w:spacing w:after="200"/>
        <w:jc w:val="center"/>
      </w:pPr>
      <w:r>
        <w:rPr>
          <w:rFonts w:ascii="Times New Roman" w:cs="Times New Roman" w:eastAsia="Times New Roman" w:hAnsi="Times New Roman"/>
          <w:b/>
          <w:bCs/>
          <w:color w:val="020617"/>
          <w:sz w:val="48"/>
          <w:szCs w:val="48"/>
        </w:rPr>
        <w:t xml:space="preserve">TUNOG KALYE RADIO</w:t>
      </w:r>
    </w:p>
    <w:p>
      <w:pPr>
        <w:spacing w:after="100"/>
        <w:jc w:val="center"/>
      </w:pPr>
      <w:r>
        <w:rPr>
          <w:rFonts w:ascii="Calibri" w:cs="Calibri" w:eastAsia="Calibri" w:hAnsi="Calibri"/>
          <w:color w:val="94A3B8"/>
          <w:sz w:val="20"/>
          <w:szCs w:val="20"/>
        </w:rPr>
        <w:t xml:space="preserve">━━━━━━━━━━━━━━━━━━━━━━━━</w:t>
      </w:r>
    </w:p>
    <w:p>
      <w:pPr>
        <w:spacing w:after="80"/>
        <w:jc w:val="center"/>
      </w:pPr>
      <w:r>
        <w:rPr>
          <w:rFonts w:ascii="Calibri" w:cs="Calibri" w:eastAsia="Calibri" w:hAnsi="Calibri"/>
          <w:i/>
          <w:iCs/>
          <w:color w:val="64748B"/>
          <w:sz w:val="24"/>
          <w:szCs w:val="24"/>
        </w:rPr>
        <w:t xml:space="preserve">Where the Music Meets the Kanto</w:t>
      </w:r>
    </w:p>
    <w:p>
      <w:pPr>
        <w:spacing w:after="0" w:before="600"/>
      </w:pPr>
      <w:r>
        <w:t xml:space="preserve"/>
      </w:r>
    </w:p>
    <w:p>
      <w:pPr>
        <w:spacing w:after="60"/>
        <w:jc w:val="center"/>
      </w:pPr>
      <w:r>
        <w:rPr>
          <w:rFonts w:ascii="Calibri" w:cs="Calibri" w:eastAsia="Calibri" w:hAnsi="Calibri"/>
          <w:color w:val="94A3B8"/>
          <w:sz w:val="20"/>
          <w:szCs w:val="20"/>
        </w:rPr>
        <w:t xml:space="preserve">tunogkalye.net  |  video.tunogkalye.net</w:t>
      </w:r>
    </w:p>
    <w:p>
      <w:pPr>
        <w:spacing w:after="60"/>
        <w:jc w:val="center"/>
      </w:pPr>
      <w:r>
        <w:rPr>
          <w:rFonts w:ascii="Calibri" w:cs="Calibri" w:eastAsia="Calibri" w:hAnsi="Calibri"/>
          <w:color w:val="94A3B8"/>
          <w:sz w:val="18"/>
          <w:szCs w:val="18"/>
        </w:rPr>
        <w:t xml:space="preserve">Confidential  |  2026</w:t>
      </w:r>
    </w:p>
    <w:sectPr>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6"/>
        <w:szCs w:val="16"/>
      </w:rPr>
      <w:t xml:space="preserve">Page </w:t>
    </w:r>
    <w:r>
      <w:rPr>
        <w:rFonts w:ascii="Calibri" w:cs="Calibri" w:eastAsia="Calibri" w:hAnsi="Calibri"/>
        <w:color w:val="94A3B8"/>
        <w:sz w:val="16"/>
        <w:szCs w:val="16"/>
      </w:rPr>
      <w:fldChar w:fldCharType="begin"/>
      <w:instrText xml:space="preserve">PAGE</w:instrText>
      <w:fldChar w:fldCharType="separate"/>
      <w:fldChar w:fldCharType="end"/>
    </w:r>
    <w:r>
      <w:rPr>
        <w:rFonts w:ascii="Calibri" w:cs="Calibri" w:eastAsia="Calibri" w:hAnsi="Calibri"/>
        <w:color w:val="94A3B8"/>
        <w:sz w:val="16"/>
        <w:szCs w:val="16"/>
      </w:rPr>
      <w:t xml:space="preserve"> of </w:t>
    </w:r>
    <w:r>
      <w:rPr>
        <w:rFonts w:ascii="Calibri" w:cs="Calibri" w:eastAsia="Calibri" w:hAnsi="Calibri"/>
        <w:color w:val="94A3B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6"/>
        <w:szCs w:val="16"/>
      </w:rPr>
      <w:t xml:space="preserve">Page </w:t>
    </w:r>
    <w:r>
      <w:rPr>
        <w:rFonts w:ascii="Calibri" w:cs="Calibri" w:eastAsia="Calibri" w:hAnsi="Calibri"/>
        <w:color w:val="94A3B8"/>
        <w:sz w:val="16"/>
        <w:szCs w:val="16"/>
      </w:rPr>
      <w:fldChar w:fldCharType="begin"/>
      <w:instrText xml:space="preserve">PAGE</w:instrText>
      <w:fldChar w:fldCharType="separate"/>
      <w:fldChar w:fldCharType="end"/>
    </w:r>
    <w:r>
      <w:rPr>
        <w:rFonts w:ascii="Calibri" w:cs="Calibri" w:eastAsia="Calibri" w:hAnsi="Calibri"/>
        <w:color w:val="94A3B8"/>
        <w:sz w:val="16"/>
        <w:szCs w:val="16"/>
      </w:rPr>
      <w:t xml:space="preserve"> of </w:t>
    </w:r>
    <w:r>
      <w:rPr>
        <w:rFonts w:ascii="Calibri" w:cs="Calibri" w:eastAsia="Calibri" w:hAnsi="Calibri"/>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4A3B8"/>
        <w:sz w:val="16"/>
        <w:szCs w:val="16"/>
      </w:rPr>
      <w:t xml:space="preserve">Tunog Kalye Radio  |  Strategic Vision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4A3B8"/>
        <w:sz w:val="16"/>
        <w:szCs w:val="16"/>
      </w:rPr>
      <w:t xml:space="preserve">Tunog Kalye Radio  |  Strategic 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7"/>
    <w:lvlOverride w:ilvl="0">
      <w:startOverride w:val="1"/>
    </w:lvlOverride>
  </w:num>
  <w:num w:numId="6">
    <w:abstractNumId w:val="8"/>
    <w:lvlOverride w:ilvl="0">
      <w:startOverride w:val="1"/>
    </w:lvlOverride>
  </w:num>
  <w:num w:numId="7">
    <w:abstractNumId w:val="19"/>
    <w:lvlOverride w:ilvl="0">
      <w:startOverride w:val="1"/>
    </w:lvlOverride>
  </w:num>
  <w:num w:numId="8">
    <w:abstractNumId w:val="20"/>
    <w:lvlOverride w:ilvl="0">
      <w:startOverride w:val="1"/>
    </w:lvlOverride>
  </w:num>
  <w:num w:numId="9">
    <w:abstractNumId w:val="21"/>
    <w:lvlOverride w:ilvl="0">
      <w:startOverride w:val="1"/>
    </w:lvlOverride>
  </w:num>
  <w:num w:numId="10">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5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2026-04-08T18:09:45.648Z</dcterms:created>
  <dcterms:modified xsi:type="dcterms:W3CDTF">2026-04-08T18:09:45.648Z</dcterms:modified>
</cp:coreProperties>
</file>

<file path=docProps/custom.xml><?xml version="1.0" encoding="utf-8"?>
<Properties xmlns="http://schemas.openxmlformats.org/officeDocument/2006/custom-properties" xmlns:vt="http://schemas.openxmlformats.org/officeDocument/2006/docPropsVTypes"/>
</file>