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right"/>
        <w:rPr/>
      </w:pPr>
      <w:r w:rsidDel="00000000" w:rsidR="00000000" w:rsidRPr="00000000">
        <w:rPr>
          <w:rtl w:val="0"/>
        </w:rPr>
        <w:t xml:space="preserve">Nguyễn Trọng Tước</w:t>
      </w:r>
    </w:p>
    <w:p w:rsidR="00000000" w:rsidDel="00000000" w:rsidP="00000000" w:rsidRDefault="00000000" w:rsidRPr="00000000" w14:paraId="00000002">
      <w:pPr>
        <w:jc w:val="right"/>
        <w:rPr/>
      </w:pPr>
      <w:r w:rsidDel="00000000" w:rsidR="00000000" w:rsidRPr="00000000">
        <w:rPr>
          <w:rtl w:val="0"/>
        </w:rPr>
        <w:t xml:space="preserve">2432300332</w:t>
      </w:r>
    </w:p>
    <w:p w:rsidR="00000000" w:rsidDel="00000000" w:rsidP="00000000" w:rsidRDefault="00000000" w:rsidRPr="00000000" w14:paraId="00000003">
      <w:pPr>
        <w:jc w:val="right"/>
        <w:rPr/>
      </w:pPr>
      <w:r w:rsidDel="00000000" w:rsidR="00000000" w:rsidRPr="00000000">
        <w:rPr>
          <w:rtl w:val="0"/>
        </w:rPr>
        <w:t xml:space="preserve">MIS 311</w:t>
      </w:r>
    </w:p>
    <w:p w:rsidR="00000000" w:rsidDel="00000000" w:rsidP="00000000" w:rsidRDefault="00000000" w:rsidRPr="00000000" w14:paraId="00000004">
      <w:pPr>
        <w:jc w:val="right"/>
        <w:rPr/>
      </w:pPr>
      <w:r w:rsidDel="00000000" w:rsidR="00000000" w:rsidRPr="00000000">
        <w:rPr>
          <w:rtl w:val="0"/>
        </w:rPr>
        <w:t xml:space="preserve">Individual Assignment</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b w:val="1"/>
          <w:bCs w:val="1"/>
          <w:sz w:val="26"/>
          <w:szCs w:val="26"/>
        </w:rPr>
      </w:pPr>
      <w:r w:rsidDel="00000000" w:rsidR="00000000" w:rsidRPr="00000000">
        <w:rPr>
          <w:b w:val="1"/>
          <w:bCs w:val="1"/>
          <w:sz w:val="26"/>
          <w:szCs w:val="26"/>
          <w:rtl w:val="0"/>
        </w:rPr>
        <w:t xml:space="preserve">Data Overview : </w:t>
      </w:r>
    </w:p>
    <w:p w:rsidR="00000000" w:rsidDel="00000000" w:rsidP="00000000" w:rsidRDefault="00000000" w:rsidRPr="00000000" w14:paraId="00000007">
      <w:pPr>
        <w:rPr>
          <w:b w:val="1"/>
          <w:bCs w:val="1"/>
          <w:sz w:val="26"/>
          <w:szCs w:val="26"/>
        </w:rPr>
      </w:pPr>
      <w:r w:rsidDel="00000000" w:rsidR="00000000" w:rsidRPr="00000000">
        <w:rPr>
          <w:rtl w:val="0"/>
        </w:rPr>
      </w:r>
    </w:p>
    <w:p w:rsidR="00000000" w:rsidDel="00000000" w:rsidP="00000000" w:rsidRDefault="00000000" w:rsidRPr="00000000" w14:paraId="00000008">
      <w:pPr>
        <w:rPr>
          <w:color w:val="ff0000"/>
          <w:sz w:val="24"/>
          <w:szCs w:val="24"/>
        </w:rPr>
      </w:pPr>
      <w:r w:rsidDel="00000000" w:rsidR="00000000" w:rsidRPr="00000000">
        <w:rPr>
          <w:sz w:val="24"/>
          <w:szCs w:val="24"/>
          <w:rtl w:val="0"/>
        </w:rPr>
        <w:t xml:space="preserve">The Supermarket Sale dataset captures granular transaction-level data from a retail supermarket chain with operations spanning multiple branches and cities. Each record corresponds to a single purchase and documents key details including the store branch and city, customer segment, product and category, quantity sold, and the total transaction value in USD.</w:t>
        <w:br w:type="textWrapping"/>
      </w:r>
      <w:r w:rsidDel="00000000" w:rsidR="00000000" w:rsidRPr="00000000">
        <w:rPr>
          <w:rtl w:val="0"/>
        </w:rPr>
      </w:r>
    </w:p>
    <w:p w:rsidR="00000000" w:rsidDel="00000000" w:rsidP="00000000" w:rsidRDefault="00000000" w:rsidRPr="00000000" w14:paraId="00000009">
      <w:pPr>
        <w:rPr>
          <w:sz w:val="24"/>
          <w:szCs w:val="24"/>
        </w:rPr>
      </w:pPr>
      <w:r w:rsidDel="00000000" w:rsidR="00000000" w:rsidRPr="00000000">
        <w:rPr>
          <w:sz w:val="24"/>
          <w:szCs w:val="24"/>
          <w:rtl w:val="0"/>
        </w:rPr>
        <w:t xml:space="preserve">According to my Macbook limitation related to Excel function, I use Python and Excel to solve these homework tasks. </w:t>
      </w:r>
    </w:p>
    <w:p w:rsidR="00000000" w:rsidDel="00000000" w:rsidP="00000000" w:rsidRDefault="00000000" w:rsidRPr="00000000" w14:paraId="0000000A">
      <w:pPr>
        <w:rPr>
          <w:sz w:val="24"/>
          <w:szCs w:val="24"/>
        </w:rPr>
      </w:pPr>
      <w:r w:rsidDel="00000000" w:rsidR="00000000" w:rsidRPr="00000000">
        <w:rPr>
          <w:rtl w:val="0"/>
        </w:rPr>
      </w:r>
    </w:p>
    <w:p w:rsidR="00000000" w:rsidDel="00000000" w:rsidP="00000000" w:rsidRDefault="00000000" w:rsidRPr="00000000" w14:paraId="0000000B">
      <w:pPr>
        <w:rPr>
          <w:b w:val="1"/>
          <w:bCs w:val="1"/>
          <w:sz w:val="26"/>
          <w:szCs w:val="26"/>
        </w:rPr>
      </w:pPr>
      <w:r w:rsidDel="00000000" w:rsidR="00000000" w:rsidRPr="00000000">
        <w:rPr>
          <w:b w:val="1"/>
          <w:bCs w:val="1"/>
          <w:sz w:val="26"/>
          <w:szCs w:val="26"/>
          <w:rtl w:val="0"/>
        </w:rPr>
        <w:t xml:space="preserve">Data cleaning :</w:t>
      </w:r>
    </w:p>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rPr>
          <w:sz w:val="24"/>
          <w:szCs w:val="24"/>
        </w:rPr>
      </w:pPr>
      <w:r w:rsidDel="00000000" w:rsidR="00000000" w:rsidRPr="00000000">
        <w:rPr>
          <w:sz w:val="24"/>
          <w:szCs w:val="24"/>
          <w:rtl w:val="0"/>
        </w:rPr>
        <w:t xml:space="preserve">First, I upload the xlsx file to google collab. After that, I use function </w:t>
      </w:r>
      <w:hyperlink r:id="rId6">
        <w:r w:rsidDel="00000000" w:rsidR="00000000" w:rsidRPr="00000000">
          <w:rPr>
            <w:color w:val="1155cc"/>
            <w:sz w:val="24"/>
            <w:szCs w:val="24"/>
            <w:u w:val="single"/>
            <w:rtl w:val="0"/>
          </w:rPr>
          <w:t xml:space="preserve">df.info</w:t>
        </w:r>
      </w:hyperlink>
      <w:r w:rsidDel="00000000" w:rsidR="00000000" w:rsidRPr="00000000">
        <w:rPr>
          <w:sz w:val="24"/>
          <w:szCs w:val="24"/>
          <w:rtl w:val="0"/>
        </w:rPr>
        <w:t xml:space="preserve">() to check whether there is any missing value</w:t>
      </w:r>
    </w:p>
    <w:p w:rsidR="00000000" w:rsidDel="00000000" w:rsidP="00000000" w:rsidRDefault="00000000" w:rsidRPr="00000000" w14:paraId="0000000E">
      <w:pPr>
        <w:rPr>
          <w:sz w:val="24"/>
          <w:szCs w:val="24"/>
        </w:rPr>
      </w:pPr>
      <w:r w:rsidDel="00000000" w:rsidR="00000000" w:rsidRPr="00000000">
        <w:rPr>
          <w:rtl w:val="0"/>
        </w:rPr>
      </w:r>
    </w:p>
    <w:p w:rsidR="00000000" w:rsidDel="00000000" w:rsidP="00000000" w:rsidRDefault="00000000" w:rsidRPr="00000000" w14:paraId="0000000F">
      <w:pPr>
        <w:rPr>
          <w:color w:val="ff0000"/>
        </w:rPr>
      </w:pPr>
      <w:r w:rsidDel="00000000" w:rsidR="00000000" w:rsidRPr="00000000">
        <w:rPr>
          <w:rtl w:val="0"/>
        </w:rPr>
      </w:r>
    </w:p>
    <w:p w:rsidR="00000000" w:rsidDel="00000000" w:rsidP="00000000" w:rsidRDefault="00000000" w:rsidRPr="00000000" w14:paraId="00000010">
      <w:pPr>
        <w:rPr/>
      </w:pPr>
      <w:r w:rsidDel="00000000" w:rsidR="00000000" w:rsidRPr="00000000">
        <w:rPr/>
        <w:drawing>
          <wp:inline distB="114300" distT="114300" distL="114300" distR="114300">
            <wp:extent cx="6766731" cy="1945305"/>
            <wp:effectExtent b="0" l="0" r="0" t="0"/>
            <wp:docPr id="1"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6766731" cy="1945305"/>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sz w:val="24"/>
          <w:szCs w:val="24"/>
        </w:rPr>
      </w:pPr>
      <w:r w:rsidDel="00000000" w:rsidR="00000000" w:rsidRPr="00000000">
        <w:rPr>
          <w:sz w:val="24"/>
          <w:szCs w:val="24"/>
          <w:rtl w:val="0"/>
        </w:rPr>
        <w:t xml:space="preserve">After that, I use function </w:t>
      </w:r>
      <w:hyperlink r:id="rId8">
        <w:r w:rsidDel="00000000" w:rsidR="00000000" w:rsidRPr="00000000">
          <w:rPr>
            <w:color w:val="1155cc"/>
            <w:sz w:val="24"/>
            <w:szCs w:val="24"/>
            <w:u w:val="single"/>
            <w:rtl w:val="0"/>
          </w:rPr>
          <w:t xml:space="preserve">df.info</w:t>
        </w:r>
      </w:hyperlink>
      <w:r w:rsidDel="00000000" w:rsidR="00000000" w:rsidRPr="00000000">
        <w:rPr>
          <w:sz w:val="24"/>
          <w:szCs w:val="24"/>
          <w:rtl w:val="0"/>
        </w:rPr>
        <w:t xml:space="preserve">() in my case is supermarket_sale.info() to check whether there is any missing value. And the result there are 3 categories have missing value which are : </w:t>
      </w:r>
    </w:p>
    <w:p w:rsidR="00000000" w:rsidDel="00000000" w:rsidP="00000000" w:rsidRDefault="00000000" w:rsidRPr="00000000" w14:paraId="00000013">
      <w:pPr>
        <w:numPr>
          <w:ilvl w:val="0"/>
          <w:numId w:val="1"/>
        </w:numPr>
        <w:ind w:left="1440" w:hanging="360"/>
        <w:rPr>
          <w:sz w:val="24"/>
          <w:szCs w:val="24"/>
          <w:u w:val="none"/>
        </w:rPr>
      </w:pPr>
      <w:r w:rsidDel="00000000" w:rsidR="00000000" w:rsidRPr="00000000">
        <w:rPr>
          <w:sz w:val="24"/>
          <w:szCs w:val="24"/>
          <w:rtl w:val="0"/>
        </w:rPr>
        <w:t xml:space="preserve">Customer type : 3 missing values (250 compared to 253) </w:t>
      </w:r>
    </w:p>
    <w:p w:rsidR="00000000" w:rsidDel="00000000" w:rsidP="00000000" w:rsidRDefault="00000000" w:rsidRPr="00000000" w14:paraId="00000014">
      <w:pPr>
        <w:numPr>
          <w:ilvl w:val="0"/>
          <w:numId w:val="1"/>
        </w:numPr>
        <w:ind w:left="1440" w:hanging="360"/>
        <w:rPr>
          <w:sz w:val="24"/>
          <w:szCs w:val="24"/>
          <w:u w:val="none"/>
        </w:rPr>
      </w:pPr>
      <w:r w:rsidDel="00000000" w:rsidR="00000000" w:rsidRPr="00000000">
        <w:rPr>
          <w:sz w:val="24"/>
          <w:szCs w:val="24"/>
          <w:rtl w:val="0"/>
        </w:rPr>
        <w:t xml:space="preserve">Product category :  6 missing values (247 compared to 253)</w:t>
      </w:r>
    </w:p>
    <w:p w:rsidR="00000000" w:rsidDel="00000000" w:rsidP="00000000" w:rsidRDefault="00000000" w:rsidRPr="00000000" w14:paraId="00000015">
      <w:pPr>
        <w:numPr>
          <w:ilvl w:val="0"/>
          <w:numId w:val="1"/>
        </w:numPr>
        <w:ind w:left="1440" w:hanging="360"/>
        <w:rPr>
          <w:sz w:val="24"/>
          <w:szCs w:val="24"/>
          <w:u w:val="none"/>
        </w:rPr>
      </w:pPr>
      <w:r w:rsidDel="00000000" w:rsidR="00000000" w:rsidRPr="00000000">
        <w:rPr>
          <w:sz w:val="24"/>
          <w:szCs w:val="24"/>
          <w:rtl w:val="0"/>
        </w:rPr>
        <w:t xml:space="preserve">Quantity: 3 missing values (250 compared to 253)</w:t>
      </w:r>
    </w:p>
    <w:p w:rsidR="00000000" w:rsidDel="00000000" w:rsidP="00000000" w:rsidRDefault="00000000" w:rsidRPr="00000000" w14:paraId="00000016">
      <w:pPr>
        <w:rPr>
          <w:sz w:val="24"/>
          <w:szCs w:val="24"/>
        </w:rPr>
      </w:pPr>
      <w:r w:rsidDel="00000000" w:rsidR="00000000" w:rsidRPr="00000000">
        <w:rPr>
          <w:rtl w:val="0"/>
        </w:rPr>
      </w:r>
    </w:p>
    <w:p w:rsidR="00000000" w:rsidDel="00000000" w:rsidP="00000000" w:rsidRDefault="00000000" w:rsidRPr="00000000" w14:paraId="00000017">
      <w:pPr>
        <w:rPr>
          <w:sz w:val="24"/>
          <w:szCs w:val="24"/>
        </w:rPr>
      </w:pPr>
      <w:r w:rsidDel="00000000" w:rsidR="00000000" w:rsidRPr="00000000">
        <w:rPr>
          <w:rtl w:val="0"/>
        </w:rPr>
      </w:r>
    </w:p>
    <w:p w:rsidR="00000000" w:rsidDel="00000000" w:rsidP="00000000" w:rsidRDefault="00000000" w:rsidRPr="00000000" w14:paraId="00000018">
      <w:pPr>
        <w:rPr/>
      </w:pPr>
      <w:r w:rsidDel="00000000" w:rsidR="00000000" w:rsidRPr="00000000">
        <w:rPr/>
        <w:drawing>
          <wp:inline distB="114300" distT="114300" distL="114300" distR="114300">
            <wp:extent cx="6234113" cy="3476717"/>
            <wp:effectExtent b="0" l="0" r="0" t="0"/>
            <wp:docPr id="7"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6234113" cy="3476717"/>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rPr>
          <w:sz w:val="24"/>
          <w:szCs w:val="24"/>
        </w:rPr>
      </w:pPr>
      <w:r w:rsidDel="00000000" w:rsidR="00000000" w:rsidRPr="00000000">
        <w:rPr>
          <w:sz w:val="24"/>
          <w:szCs w:val="24"/>
          <w:rtl w:val="0"/>
        </w:rPr>
        <w:t xml:space="preserve">To double check, I use function  supermarket_sale.isna().sum() to </w:t>
      </w:r>
      <w:r w:rsidDel="00000000" w:rsidR="00000000" w:rsidRPr="00000000">
        <w:rPr>
          <w:sz w:val="24"/>
          <w:szCs w:val="24"/>
          <w:rtl w:val="0"/>
        </w:rPr>
        <w:t xml:space="preserve">Return the number of missing values by column. </w:t>
      </w:r>
    </w:p>
    <w:p w:rsidR="00000000" w:rsidDel="00000000" w:rsidP="00000000" w:rsidRDefault="00000000" w:rsidRPr="00000000" w14:paraId="0000001A">
      <w:pPr>
        <w:rPr>
          <w:sz w:val="24"/>
          <w:szCs w:val="24"/>
        </w:rPr>
      </w:pPr>
      <w:r w:rsidDel="00000000" w:rsidR="00000000" w:rsidRPr="00000000">
        <w:rPr>
          <w:rtl w:val="0"/>
        </w:rPr>
      </w:r>
    </w:p>
    <w:p w:rsidR="00000000" w:rsidDel="00000000" w:rsidP="00000000" w:rsidRDefault="00000000" w:rsidRPr="00000000" w14:paraId="0000001B">
      <w:pPr>
        <w:rPr/>
      </w:pPr>
      <w:r w:rsidDel="00000000" w:rsidR="00000000" w:rsidRPr="00000000">
        <w:rPr/>
        <w:drawing>
          <wp:inline distB="114300" distT="114300" distL="114300" distR="114300">
            <wp:extent cx="1843260" cy="1928813"/>
            <wp:effectExtent b="0" l="0" r="0" t="0"/>
            <wp:docPr id="10"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1843260" cy="1928813"/>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I will eliminate all the missing values by using dropna() method without any data cooking. The result returns 242 results </w:t>
      </w:r>
      <w:r w:rsidDel="00000000" w:rsidR="00000000" w:rsidRPr="00000000">
        <w:rPr/>
        <w:drawing>
          <wp:inline distB="114300" distT="114300" distL="114300" distR="114300">
            <wp:extent cx="8863200" cy="3035300"/>
            <wp:effectExtent b="0" l="0" r="0" t="0"/>
            <wp:docPr id="2"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8863200" cy="30353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Otherwise, I can use quantity means to replace missing values in the quantity section by using fillna() method. This method aim to imputing new values into N/a values. Anotherway to solve this problem is leave it alone.</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drawing>
          <wp:inline distB="114300" distT="114300" distL="114300" distR="114300">
            <wp:extent cx="8043863" cy="1624325"/>
            <wp:effectExtent b="0" l="0" r="0" t="0"/>
            <wp:docPr id="3"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8043863" cy="1624325"/>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Similarly, I can use the function iloc() to update specific values in the product category </w:t>
      </w:r>
      <w:hyperlink r:id="rId13">
        <w:r w:rsidDel="00000000" w:rsidR="00000000" w:rsidRPr="00000000">
          <w:rPr>
            <w:color w:val="1155cc"/>
            <w:u w:val="single"/>
            <w:rtl w:val="0"/>
          </w:rPr>
          <w:t xml:space="preserve">section.</w:t>
        </w:r>
      </w:hyperlink>
      <w:r w:rsidDel="00000000" w:rsidR="00000000" w:rsidRPr="00000000">
        <w:rPr>
          <w:rtl w:val="0"/>
        </w:rPr>
        <w:t xml:space="preserve"> In this case, I use this method to change product categories and customer types. However, as I mentioned above, I will remove values which are missing to maintain the authenticity of the report. After finishing, I import the excel.</w:t>
        <w:br w:type="textWrapping"/>
      </w:r>
      <w:r w:rsidDel="00000000" w:rsidR="00000000" w:rsidRPr="00000000">
        <w:rPr/>
        <w:drawing>
          <wp:inline distB="114300" distT="114300" distL="114300" distR="114300">
            <wp:extent cx="6843713" cy="2587526"/>
            <wp:effectExtent b="0" l="0" r="0" t="0"/>
            <wp:docPr id="5"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6843713" cy="2587526"/>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b w:val="1"/>
          <w:bCs w:val="1"/>
          <w:sz w:val="26"/>
          <w:szCs w:val="26"/>
        </w:rPr>
      </w:pPr>
      <w:r w:rsidDel="00000000" w:rsidR="00000000" w:rsidRPr="00000000">
        <w:rPr>
          <w:rtl w:val="0"/>
        </w:rPr>
        <w:br w:type="textWrapping"/>
      </w:r>
      <w:r w:rsidDel="00000000" w:rsidR="00000000" w:rsidRPr="00000000">
        <w:rPr>
          <w:b w:val="1"/>
          <w:bCs w:val="1"/>
          <w:sz w:val="26"/>
          <w:szCs w:val="26"/>
          <w:rtl w:val="0"/>
        </w:rPr>
        <w:t xml:space="preserve">Descriptive analysis: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After processing data, I use Descriptive Statistic function to find out the insight of Quantity and Total price categories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drawing>
          <wp:inline distB="114300" distT="114300" distL="114300" distR="114300">
            <wp:extent cx="6573879" cy="4271963"/>
            <wp:effectExtent b="0" l="0" r="0" t="0"/>
            <wp:docPr id="8"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6573879" cy="4271963"/>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And the result: </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tbl>
      <w:tblPr>
        <w:tblStyle w:val="Table1"/>
        <w:tblW w:w="10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65"/>
        <w:tblGridChange w:id="0">
          <w:tblGrid>
            <w:gridCol w:w="1065"/>
          </w:tblGrid>
        </w:tblGridChange>
      </w:tblGrid>
      <w:tr>
        <w:trPr>
          <w:cantSplit w:val="0"/>
          <w:trHeight w:val="400" w:hRule="atLeast"/>
          <w:tblHeader w:val="0"/>
        </w:trPr>
        <w:tc>
          <w:tcPr>
            <w:tcMar>
              <w:top w:w="20.0" w:type="dxa"/>
              <w:left w:w="20.0" w:type="dxa"/>
              <w:bottom w:w="100.0" w:type="dxa"/>
              <w:right w:w="20.0" w:type="dxa"/>
            </w:tcMar>
            <w:vAlign w:val="bottom"/>
          </w:tcPr>
          <w:p w:rsidR="00000000" w:rsidDel="00000000" w:rsidP="00000000" w:rsidRDefault="00000000" w:rsidRPr="00000000" w14:paraId="0000002E">
            <w:pPr>
              <w:rPr/>
            </w:pPr>
            <w:r w:rsidDel="00000000" w:rsidR="00000000" w:rsidRPr="00000000">
              <w:rPr>
                <w:rtl w:val="0"/>
              </w:rPr>
            </w:r>
          </w:p>
        </w:tc>
      </w:tr>
    </w:tbl>
    <w:p w:rsidR="00000000" w:rsidDel="00000000" w:rsidP="00000000" w:rsidRDefault="00000000" w:rsidRPr="00000000" w14:paraId="0000002F">
      <w:pPr>
        <w:rPr/>
      </w:pPr>
      <w:r w:rsidDel="00000000" w:rsidR="00000000" w:rsidRPr="00000000">
        <w:rPr>
          <w:rtl w:val="0"/>
        </w:rPr>
      </w:r>
    </w:p>
    <w:tbl>
      <w:tblPr>
        <w:tblStyle w:val="Table2"/>
        <w:tblW w:w="10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65"/>
        <w:tblGridChange w:id="0">
          <w:tblGrid>
            <w:gridCol w:w="1065"/>
          </w:tblGrid>
        </w:tblGridChange>
      </w:tblGrid>
      <w:tr>
        <w:trPr>
          <w:cantSplit w:val="0"/>
          <w:trHeight w:val="400" w:hRule="atLeast"/>
          <w:tblHeader w:val="0"/>
        </w:trPr>
        <w:tc>
          <w:tcPr>
            <w:tcMar>
              <w:top w:w="20.0" w:type="dxa"/>
              <w:left w:w="20.0" w:type="dxa"/>
              <w:bottom w:w="100.0" w:type="dxa"/>
              <w:right w:w="20.0" w:type="dxa"/>
            </w:tcMar>
            <w:vAlign w:val="bottom"/>
          </w:tcPr>
          <w:p w:rsidR="00000000" w:rsidDel="00000000" w:rsidP="00000000" w:rsidRDefault="00000000" w:rsidRPr="00000000" w14:paraId="00000030">
            <w:pPr>
              <w:rPr/>
            </w:pPr>
            <w:r w:rsidDel="00000000" w:rsidR="00000000" w:rsidRPr="00000000">
              <w:rPr>
                <w:rtl w:val="0"/>
              </w:rPr>
            </w:r>
          </w:p>
        </w:tc>
      </w:tr>
    </w:tbl>
    <w:p w:rsidR="00000000" w:rsidDel="00000000" w:rsidP="00000000" w:rsidRDefault="00000000" w:rsidRPr="00000000" w14:paraId="00000031">
      <w:pPr>
        <w:rPr/>
      </w:pPr>
      <w:r w:rsidDel="00000000" w:rsidR="00000000" w:rsidRPr="00000000">
        <w:rPr/>
        <w:drawing>
          <wp:inline distB="114300" distT="114300" distL="114300" distR="114300">
            <wp:extent cx="2605088" cy="2202831"/>
            <wp:effectExtent b="0" l="0" r="0" t="0"/>
            <wp:docPr id="4"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2605088" cy="2202831"/>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The results show that customers purchased an average of 10.77 items per transaction, with most buying between 10 and 11 items, indicating a relatively consistent shopping pattern. The average total spending per transaction was $126.57. Still, the large standard deviation of 102.93 and the maximum of $424.96 reveal substantial variation in spending behavior. At the same time, most customers make moderate purchases, a small group of high-spending customers considerably raises total revenue. This suggests an opportunity for the business to identify and engage these premium buyers to increase profitability, while still maintaining the stable base of regular shoppers.</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br w:type="page"/>
      </w:r>
      <w:r w:rsidDel="00000000" w:rsidR="00000000" w:rsidRPr="00000000">
        <w:rPr>
          <w:rtl w:val="0"/>
        </w:rPr>
      </w:r>
    </w:p>
    <w:p w:rsidR="00000000" w:rsidDel="00000000" w:rsidP="00000000" w:rsidRDefault="00000000" w:rsidRPr="00000000" w14:paraId="00000036">
      <w:pPr>
        <w:rPr/>
      </w:pPr>
      <w:r w:rsidDel="00000000" w:rsidR="00000000" w:rsidRPr="00000000">
        <w:rPr/>
        <w:drawing>
          <wp:inline distB="114300" distT="114300" distL="114300" distR="114300">
            <wp:extent cx="4527413" cy="2719388"/>
            <wp:effectExtent b="0" l="0" r="0" t="0"/>
            <wp:docPr id="6"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4527413" cy="2719388"/>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tbl>
      <w:tblPr>
        <w:tblStyle w:val="Table3"/>
        <w:tblW w:w="45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0"/>
        <w:gridCol w:w="2415"/>
        <w:tblGridChange w:id="0">
          <w:tblGrid>
            <w:gridCol w:w="2160"/>
            <w:gridCol w:w="2415"/>
          </w:tblGrid>
        </w:tblGridChange>
      </w:tblGrid>
      <w:tr>
        <w:trPr>
          <w:cantSplit w:val="0"/>
          <w:trHeight w:val="400" w:hRule="atLeast"/>
          <w:tblHeader w:val="0"/>
        </w:trPr>
        <w:tc>
          <w:tcPr>
            <w:tcBorders>
              <w:bottom w:color="95b3d7" w:space="0" w:sz="4" w:val="single"/>
            </w:tcBorders>
            <w:shd w:fill="dce6f1" w:val="clear"/>
            <w:tcMar>
              <w:top w:w="20.0" w:type="dxa"/>
              <w:left w:w="20.0" w:type="dxa"/>
              <w:bottom w:w="100.0" w:type="dxa"/>
              <w:right w:w="20.0" w:type="dxa"/>
            </w:tcMar>
            <w:vAlign w:val="bottom"/>
          </w:tcPr>
          <w:p w:rsidR="00000000" w:rsidDel="00000000" w:rsidP="00000000" w:rsidRDefault="00000000" w:rsidRPr="00000000" w14:paraId="00000038">
            <w:pPr>
              <w:rPr/>
            </w:pPr>
            <w:r w:rsidDel="00000000" w:rsidR="00000000" w:rsidRPr="00000000">
              <w:rPr>
                <w:b w:val="1"/>
                <w:bCs w:val="1"/>
                <w:rtl w:val="0"/>
              </w:rPr>
              <w:t xml:space="preserve">Customer type</w:t>
            </w:r>
            <w:r w:rsidDel="00000000" w:rsidR="00000000" w:rsidRPr="00000000">
              <w:rPr>
                <w:rtl w:val="0"/>
              </w:rPr>
            </w:r>
          </w:p>
        </w:tc>
        <w:tc>
          <w:tcPr>
            <w:tcBorders>
              <w:bottom w:color="95b3d7" w:space="0" w:sz="4" w:val="single"/>
            </w:tcBorders>
            <w:shd w:fill="dce6f1" w:val="clear"/>
            <w:tcMar>
              <w:top w:w="20.0" w:type="dxa"/>
              <w:left w:w="20.0" w:type="dxa"/>
              <w:bottom w:w="100.0" w:type="dxa"/>
              <w:right w:w="20.0" w:type="dxa"/>
            </w:tcMar>
            <w:vAlign w:val="bottom"/>
          </w:tcPr>
          <w:p w:rsidR="00000000" w:rsidDel="00000000" w:rsidP="00000000" w:rsidRDefault="00000000" w:rsidRPr="00000000" w14:paraId="00000039">
            <w:pPr>
              <w:rPr/>
            </w:pPr>
            <w:r w:rsidDel="00000000" w:rsidR="00000000" w:rsidRPr="00000000">
              <w:rPr>
                <w:b w:val="1"/>
                <w:bCs w:val="1"/>
                <w:rtl w:val="0"/>
              </w:rPr>
              <w:t xml:space="preserve">Count of quantity</w:t>
            </w:r>
            <w:r w:rsidDel="00000000" w:rsidR="00000000" w:rsidRPr="00000000">
              <w:rPr>
                <w:rtl w:val="0"/>
              </w:rPr>
            </w:r>
          </w:p>
        </w:tc>
      </w:tr>
      <w:tr>
        <w:trPr>
          <w:cantSplit w:val="0"/>
          <w:trHeight w:val="400" w:hRule="atLeast"/>
          <w:tblHeader w:val="0"/>
        </w:trPr>
        <w:tc>
          <w:tcPr>
            <w:tcMar>
              <w:top w:w="20.0" w:type="dxa"/>
              <w:left w:w="20.0" w:type="dxa"/>
              <w:bottom w:w="100.0" w:type="dxa"/>
              <w:right w:w="20.0" w:type="dxa"/>
            </w:tcMar>
            <w:vAlign w:val="bottom"/>
          </w:tcPr>
          <w:p w:rsidR="00000000" w:rsidDel="00000000" w:rsidP="00000000" w:rsidRDefault="00000000" w:rsidRPr="00000000" w14:paraId="0000003A">
            <w:pPr>
              <w:rPr/>
            </w:pPr>
            <w:r w:rsidDel="00000000" w:rsidR="00000000" w:rsidRPr="00000000">
              <w:rPr>
                <w:rtl w:val="0"/>
              </w:rPr>
              <w:t xml:space="preserve">Member</w:t>
            </w:r>
          </w:p>
        </w:tc>
        <w:tc>
          <w:tcPr>
            <w:tcMar>
              <w:top w:w="20.0" w:type="dxa"/>
              <w:left w:w="20.0" w:type="dxa"/>
              <w:bottom w:w="100.0" w:type="dxa"/>
              <w:right w:w="20.0" w:type="dxa"/>
            </w:tcMar>
            <w:vAlign w:val="bottom"/>
          </w:tcPr>
          <w:p w:rsidR="00000000" w:rsidDel="00000000" w:rsidP="00000000" w:rsidRDefault="00000000" w:rsidRPr="00000000" w14:paraId="0000003B">
            <w:pPr>
              <w:rPr/>
            </w:pPr>
            <w:r w:rsidDel="00000000" w:rsidR="00000000" w:rsidRPr="00000000">
              <w:rPr>
                <w:rtl w:val="0"/>
              </w:rPr>
              <w:t xml:space="preserve">127</w:t>
            </w:r>
          </w:p>
        </w:tc>
      </w:tr>
      <w:tr>
        <w:trPr>
          <w:cantSplit w:val="0"/>
          <w:trHeight w:val="400" w:hRule="atLeast"/>
          <w:tblHeader w:val="0"/>
        </w:trPr>
        <w:tc>
          <w:tcPr>
            <w:tcMar>
              <w:top w:w="20.0" w:type="dxa"/>
              <w:left w:w="20.0" w:type="dxa"/>
              <w:bottom w:w="100.0" w:type="dxa"/>
              <w:right w:w="20.0" w:type="dxa"/>
            </w:tcMar>
            <w:vAlign w:val="bottom"/>
          </w:tcPr>
          <w:p w:rsidR="00000000" w:rsidDel="00000000" w:rsidP="00000000" w:rsidRDefault="00000000" w:rsidRPr="00000000" w14:paraId="0000003C">
            <w:pPr>
              <w:rPr/>
            </w:pPr>
            <w:r w:rsidDel="00000000" w:rsidR="00000000" w:rsidRPr="00000000">
              <w:rPr>
                <w:rtl w:val="0"/>
              </w:rPr>
              <w:t xml:space="preserve">Normal</w:t>
            </w:r>
          </w:p>
        </w:tc>
        <w:tc>
          <w:tcPr>
            <w:tcMar>
              <w:top w:w="20.0" w:type="dxa"/>
              <w:left w:w="20.0" w:type="dxa"/>
              <w:bottom w:w="100.0" w:type="dxa"/>
              <w:right w:w="20.0" w:type="dxa"/>
            </w:tcMar>
            <w:vAlign w:val="bottom"/>
          </w:tcPr>
          <w:p w:rsidR="00000000" w:rsidDel="00000000" w:rsidP="00000000" w:rsidRDefault="00000000" w:rsidRPr="00000000" w14:paraId="0000003D">
            <w:pPr>
              <w:rPr/>
            </w:pPr>
            <w:r w:rsidDel="00000000" w:rsidR="00000000" w:rsidRPr="00000000">
              <w:rPr>
                <w:rtl w:val="0"/>
              </w:rPr>
              <w:t xml:space="preserve">115</w:t>
            </w:r>
          </w:p>
        </w:tc>
      </w:tr>
      <w:tr>
        <w:trPr>
          <w:cantSplit w:val="0"/>
          <w:trHeight w:val="400" w:hRule="atLeast"/>
          <w:tblHeader w:val="0"/>
        </w:trPr>
        <w:tc>
          <w:tcPr>
            <w:tcBorders>
              <w:top w:color="95b3d7" w:space="0" w:sz="4" w:val="single"/>
            </w:tcBorders>
            <w:shd w:fill="dce6f1" w:val="clear"/>
            <w:tcMar>
              <w:top w:w="20.0" w:type="dxa"/>
              <w:left w:w="20.0" w:type="dxa"/>
              <w:bottom w:w="100.0" w:type="dxa"/>
              <w:right w:w="20.0" w:type="dxa"/>
            </w:tcMar>
            <w:vAlign w:val="bottom"/>
          </w:tcPr>
          <w:p w:rsidR="00000000" w:rsidDel="00000000" w:rsidP="00000000" w:rsidRDefault="00000000" w:rsidRPr="00000000" w14:paraId="0000003E">
            <w:pPr>
              <w:rPr/>
            </w:pPr>
            <w:r w:rsidDel="00000000" w:rsidR="00000000" w:rsidRPr="00000000">
              <w:rPr>
                <w:b w:val="1"/>
                <w:bCs w:val="1"/>
                <w:rtl w:val="0"/>
              </w:rPr>
              <w:t xml:space="preserve">Grand Total</w:t>
            </w:r>
            <w:r w:rsidDel="00000000" w:rsidR="00000000" w:rsidRPr="00000000">
              <w:rPr>
                <w:rtl w:val="0"/>
              </w:rPr>
            </w:r>
          </w:p>
        </w:tc>
        <w:tc>
          <w:tcPr>
            <w:tcBorders>
              <w:top w:color="95b3d7" w:space="0" w:sz="4" w:val="single"/>
            </w:tcBorders>
            <w:shd w:fill="dce6f1" w:val="clear"/>
            <w:tcMar>
              <w:top w:w="20.0" w:type="dxa"/>
              <w:left w:w="20.0" w:type="dxa"/>
              <w:bottom w:w="100.0" w:type="dxa"/>
              <w:right w:w="20.0" w:type="dxa"/>
            </w:tcMar>
            <w:vAlign w:val="bottom"/>
          </w:tcPr>
          <w:p w:rsidR="00000000" w:rsidDel="00000000" w:rsidP="00000000" w:rsidRDefault="00000000" w:rsidRPr="00000000" w14:paraId="0000003F">
            <w:pPr>
              <w:rPr/>
            </w:pPr>
            <w:r w:rsidDel="00000000" w:rsidR="00000000" w:rsidRPr="00000000">
              <w:rPr>
                <w:b w:val="1"/>
                <w:bCs w:val="1"/>
                <w:rtl w:val="0"/>
              </w:rPr>
              <w:t xml:space="preserve">242</w:t>
            </w:r>
            <w:r w:rsidDel="00000000" w:rsidR="00000000" w:rsidRPr="00000000">
              <w:rPr>
                <w:rtl w:val="0"/>
              </w:rPr>
            </w:r>
          </w:p>
        </w:tc>
      </w:tr>
    </w:tbl>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sz w:val="24"/>
          <w:szCs w:val="24"/>
        </w:rPr>
      </w:pPr>
      <w:r w:rsidDel="00000000" w:rsidR="00000000" w:rsidRPr="00000000">
        <w:rPr>
          <w:sz w:val="24"/>
          <w:szCs w:val="24"/>
          <w:rtl w:val="0"/>
        </w:rPr>
        <w:t xml:space="preserve">Member customers recorded 127 transactions, slightly exceeding the 115 transactions made by normal customers, which indicates a higher frequency of repeat visits among members. This pattern suggests that the membership program is contributing positively to customer loyalty and sustained engagement. As a result, the company should continue to encourage membership sign-ups and enhance loyalty benefits, such as point-based reward schemes, to further improve customer retention.</w:t>
      </w:r>
    </w:p>
    <w:p w:rsidR="00000000" w:rsidDel="00000000" w:rsidP="00000000" w:rsidRDefault="00000000" w:rsidRPr="00000000" w14:paraId="00000042">
      <w:pPr>
        <w:rPr>
          <w:sz w:val="24"/>
          <w:szCs w:val="24"/>
        </w:rPr>
      </w:pPr>
      <w:r w:rsidDel="00000000" w:rsidR="00000000" w:rsidRPr="00000000">
        <w:rPr>
          <w:rtl w:val="0"/>
        </w:rPr>
      </w:r>
    </w:p>
    <w:p w:rsidR="00000000" w:rsidDel="00000000" w:rsidP="00000000" w:rsidRDefault="00000000" w:rsidRPr="00000000" w14:paraId="00000043">
      <w:pPr>
        <w:rPr>
          <w:sz w:val="24"/>
          <w:szCs w:val="24"/>
        </w:rPr>
      </w:pPr>
      <w:r w:rsidDel="00000000" w:rsidR="00000000" w:rsidRPr="00000000">
        <w:rPr>
          <w:sz w:val="24"/>
          <w:szCs w:val="24"/>
        </w:rPr>
        <w:drawing>
          <wp:inline distB="114300" distT="114300" distL="114300" distR="114300">
            <wp:extent cx="4085194" cy="2448167"/>
            <wp:effectExtent b="0" l="0" r="0" t="0"/>
            <wp:docPr id="9"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4085194" cy="2448167"/>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tbl>
      <w:tblPr>
        <w:tblStyle w:val="Table4"/>
        <w:tblW w:w="64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85"/>
        <w:gridCol w:w="3195"/>
        <w:tblGridChange w:id="0">
          <w:tblGrid>
            <w:gridCol w:w="3285"/>
            <w:gridCol w:w="3195"/>
          </w:tblGrid>
        </w:tblGridChange>
      </w:tblGrid>
      <w:tr>
        <w:trPr>
          <w:cantSplit w:val="0"/>
          <w:trHeight w:val="395.92529296875" w:hRule="atLeast"/>
          <w:tblHeader w:val="0"/>
        </w:trPr>
        <w:tc>
          <w:tcPr>
            <w:tcBorders>
              <w:bottom w:color="95b3d7" w:space="0" w:sz="4" w:val="single"/>
            </w:tcBorders>
            <w:shd w:fill="dce6f1" w:val="clear"/>
            <w:tcMar>
              <w:top w:w="20.0" w:type="dxa"/>
              <w:left w:w="20.0" w:type="dxa"/>
              <w:bottom w:w="100.0" w:type="dxa"/>
              <w:right w:w="20.0" w:type="dxa"/>
            </w:tcMar>
            <w:vAlign w:val="bottom"/>
          </w:tcPr>
          <w:p w:rsidR="00000000" w:rsidDel="00000000" w:rsidP="00000000" w:rsidRDefault="00000000" w:rsidRPr="00000000" w14:paraId="00000046">
            <w:pPr>
              <w:rPr/>
            </w:pPr>
            <w:r w:rsidDel="00000000" w:rsidR="00000000" w:rsidRPr="00000000">
              <w:rPr>
                <w:b w:val="1"/>
                <w:bCs w:val="1"/>
                <w:rtl w:val="0"/>
              </w:rPr>
              <w:t xml:space="preserve">Product categories</w:t>
            </w:r>
            <w:r w:rsidDel="00000000" w:rsidR="00000000" w:rsidRPr="00000000">
              <w:rPr>
                <w:rtl w:val="0"/>
              </w:rPr>
            </w:r>
          </w:p>
        </w:tc>
        <w:tc>
          <w:tcPr>
            <w:tcBorders>
              <w:bottom w:color="95b3d7" w:space="0" w:sz="4" w:val="single"/>
            </w:tcBorders>
            <w:shd w:fill="dce6f1" w:val="clear"/>
            <w:tcMar>
              <w:top w:w="20.0" w:type="dxa"/>
              <w:left w:w="20.0" w:type="dxa"/>
              <w:bottom w:w="100.0" w:type="dxa"/>
              <w:right w:w="20.0" w:type="dxa"/>
            </w:tcMar>
            <w:vAlign w:val="bottom"/>
          </w:tcPr>
          <w:p w:rsidR="00000000" w:rsidDel="00000000" w:rsidP="00000000" w:rsidRDefault="00000000" w:rsidRPr="00000000" w14:paraId="00000047">
            <w:pPr>
              <w:rPr/>
            </w:pPr>
            <w:r w:rsidDel="00000000" w:rsidR="00000000" w:rsidRPr="00000000">
              <w:rPr>
                <w:b w:val="1"/>
                <w:bCs w:val="1"/>
                <w:rtl w:val="0"/>
              </w:rPr>
              <w:t xml:space="preserve">Count of quantity</w:t>
            </w:r>
            <w:r w:rsidDel="00000000" w:rsidR="00000000" w:rsidRPr="00000000">
              <w:rPr>
                <w:rtl w:val="0"/>
              </w:rPr>
            </w:r>
          </w:p>
        </w:tc>
      </w:tr>
      <w:tr>
        <w:trPr>
          <w:cantSplit w:val="0"/>
          <w:trHeight w:val="400" w:hRule="atLeast"/>
          <w:tblHeader w:val="0"/>
        </w:trPr>
        <w:tc>
          <w:tcPr>
            <w:tcMar>
              <w:top w:w="20.0" w:type="dxa"/>
              <w:left w:w="20.0" w:type="dxa"/>
              <w:bottom w:w="100.0" w:type="dxa"/>
              <w:right w:w="20.0" w:type="dxa"/>
            </w:tcMar>
            <w:vAlign w:val="bottom"/>
          </w:tcPr>
          <w:p w:rsidR="00000000" w:rsidDel="00000000" w:rsidP="00000000" w:rsidRDefault="00000000" w:rsidRPr="00000000" w14:paraId="00000048">
            <w:pPr>
              <w:rPr/>
            </w:pPr>
            <w:r w:rsidDel="00000000" w:rsidR="00000000" w:rsidRPr="00000000">
              <w:rPr>
                <w:rtl w:val="0"/>
              </w:rPr>
              <w:t xml:space="preserve">Beverages</w:t>
            </w:r>
          </w:p>
        </w:tc>
        <w:tc>
          <w:tcPr>
            <w:tcMar>
              <w:top w:w="20.0" w:type="dxa"/>
              <w:left w:w="20.0" w:type="dxa"/>
              <w:bottom w:w="100.0" w:type="dxa"/>
              <w:right w:w="20.0" w:type="dxa"/>
            </w:tcMar>
            <w:vAlign w:val="bottom"/>
          </w:tcPr>
          <w:p w:rsidR="00000000" w:rsidDel="00000000" w:rsidP="00000000" w:rsidRDefault="00000000" w:rsidRPr="00000000" w14:paraId="00000049">
            <w:pPr>
              <w:rPr/>
            </w:pPr>
            <w:r w:rsidDel="00000000" w:rsidR="00000000" w:rsidRPr="00000000">
              <w:rPr>
                <w:rtl w:val="0"/>
              </w:rPr>
              <w:t xml:space="preserve">47</w:t>
            </w:r>
          </w:p>
        </w:tc>
      </w:tr>
      <w:tr>
        <w:trPr>
          <w:cantSplit w:val="0"/>
          <w:trHeight w:val="400" w:hRule="atLeast"/>
          <w:tblHeader w:val="0"/>
        </w:trPr>
        <w:tc>
          <w:tcPr>
            <w:tcMar>
              <w:top w:w="20.0" w:type="dxa"/>
              <w:left w:w="20.0" w:type="dxa"/>
              <w:bottom w:w="100.0" w:type="dxa"/>
              <w:right w:w="20.0" w:type="dxa"/>
            </w:tcMar>
            <w:vAlign w:val="bottom"/>
          </w:tcPr>
          <w:p w:rsidR="00000000" w:rsidDel="00000000" w:rsidP="00000000" w:rsidRDefault="00000000" w:rsidRPr="00000000" w14:paraId="0000004A">
            <w:pPr>
              <w:rPr/>
            </w:pPr>
            <w:r w:rsidDel="00000000" w:rsidR="00000000" w:rsidRPr="00000000">
              <w:rPr>
                <w:rtl w:val="0"/>
              </w:rPr>
              <w:t xml:space="preserve">Fruits</w:t>
            </w:r>
          </w:p>
        </w:tc>
        <w:tc>
          <w:tcPr>
            <w:tcMar>
              <w:top w:w="20.0" w:type="dxa"/>
              <w:left w:w="20.0" w:type="dxa"/>
              <w:bottom w:w="100.0" w:type="dxa"/>
              <w:right w:w="20.0" w:type="dxa"/>
            </w:tcMar>
            <w:vAlign w:val="bottom"/>
          </w:tcPr>
          <w:p w:rsidR="00000000" w:rsidDel="00000000" w:rsidP="00000000" w:rsidRDefault="00000000" w:rsidRPr="00000000" w14:paraId="0000004B">
            <w:pPr>
              <w:rPr/>
            </w:pPr>
            <w:r w:rsidDel="00000000" w:rsidR="00000000" w:rsidRPr="00000000">
              <w:rPr>
                <w:rtl w:val="0"/>
              </w:rPr>
              <w:t xml:space="preserve">58</w:t>
            </w:r>
          </w:p>
        </w:tc>
      </w:tr>
      <w:tr>
        <w:trPr>
          <w:cantSplit w:val="0"/>
          <w:trHeight w:val="400" w:hRule="atLeast"/>
          <w:tblHeader w:val="0"/>
        </w:trPr>
        <w:tc>
          <w:tcPr>
            <w:tcMar>
              <w:top w:w="20.0" w:type="dxa"/>
              <w:left w:w="20.0" w:type="dxa"/>
              <w:bottom w:w="100.0" w:type="dxa"/>
              <w:right w:w="20.0" w:type="dxa"/>
            </w:tcMar>
            <w:vAlign w:val="bottom"/>
          </w:tcPr>
          <w:p w:rsidR="00000000" w:rsidDel="00000000" w:rsidP="00000000" w:rsidRDefault="00000000" w:rsidRPr="00000000" w14:paraId="0000004C">
            <w:pPr>
              <w:rPr/>
            </w:pPr>
            <w:r w:rsidDel="00000000" w:rsidR="00000000" w:rsidRPr="00000000">
              <w:rPr>
                <w:rtl w:val="0"/>
              </w:rPr>
              <w:t xml:space="preserve">Household</w:t>
            </w:r>
          </w:p>
        </w:tc>
        <w:tc>
          <w:tcPr>
            <w:tcMar>
              <w:top w:w="20.0" w:type="dxa"/>
              <w:left w:w="20.0" w:type="dxa"/>
              <w:bottom w:w="100.0" w:type="dxa"/>
              <w:right w:w="20.0" w:type="dxa"/>
            </w:tcMar>
            <w:vAlign w:val="bottom"/>
          </w:tcPr>
          <w:p w:rsidR="00000000" w:rsidDel="00000000" w:rsidP="00000000" w:rsidRDefault="00000000" w:rsidRPr="00000000" w14:paraId="0000004D">
            <w:pPr>
              <w:rPr/>
            </w:pPr>
            <w:r w:rsidDel="00000000" w:rsidR="00000000" w:rsidRPr="00000000">
              <w:rPr>
                <w:rtl w:val="0"/>
              </w:rPr>
              <w:t xml:space="preserve">54</w:t>
            </w:r>
          </w:p>
        </w:tc>
      </w:tr>
      <w:tr>
        <w:trPr>
          <w:cantSplit w:val="0"/>
          <w:trHeight w:val="400" w:hRule="atLeast"/>
          <w:tblHeader w:val="0"/>
        </w:trPr>
        <w:tc>
          <w:tcPr>
            <w:tcMar>
              <w:top w:w="20.0" w:type="dxa"/>
              <w:left w:w="20.0" w:type="dxa"/>
              <w:bottom w:w="100.0" w:type="dxa"/>
              <w:right w:w="20.0" w:type="dxa"/>
            </w:tcMar>
            <w:vAlign w:val="bottom"/>
          </w:tcPr>
          <w:p w:rsidR="00000000" w:rsidDel="00000000" w:rsidP="00000000" w:rsidRDefault="00000000" w:rsidRPr="00000000" w14:paraId="0000004E">
            <w:pPr>
              <w:rPr/>
            </w:pPr>
            <w:r w:rsidDel="00000000" w:rsidR="00000000" w:rsidRPr="00000000">
              <w:rPr>
                <w:rtl w:val="0"/>
              </w:rPr>
              <w:t xml:space="preserve">Personal Care</w:t>
            </w:r>
          </w:p>
        </w:tc>
        <w:tc>
          <w:tcPr>
            <w:tcMar>
              <w:top w:w="20.0" w:type="dxa"/>
              <w:left w:w="20.0" w:type="dxa"/>
              <w:bottom w:w="100.0" w:type="dxa"/>
              <w:right w:w="20.0" w:type="dxa"/>
            </w:tcMar>
            <w:vAlign w:val="bottom"/>
          </w:tcPr>
          <w:p w:rsidR="00000000" w:rsidDel="00000000" w:rsidP="00000000" w:rsidRDefault="00000000" w:rsidRPr="00000000" w14:paraId="0000004F">
            <w:pPr>
              <w:rPr/>
            </w:pPr>
            <w:r w:rsidDel="00000000" w:rsidR="00000000" w:rsidRPr="00000000">
              <w:rPr>
                <w:rtl w:val="0"/>
              </w:rPr>
              <w:t xml:space="preserve">39</w:t>
            </w:r>
          </w:p>
        </w:tc>
      </w:tr>
      <w:tr>
        <w:trPr>
          <w:cantSplit w:val="0"/>
          <w:trHeight w:val="400" w:hRule="atLeast"/>
          <w:tblHeader w:val="0"/>
        </w:trPr>
        <w:tc>
          <w:tcPr>
            <w:tcMar>
              <w:top w:w="20.0" w:type="dxa"/>
              <w:left w:w="20.0" w:type="dxa"/>
              <w:bottom w:w="100.0" w:type="dxa"/>
              <w:right w:w="20.0" w:type="dxa"/>
            </w:tcMar>
            <w:vAlign w:val="bottom"/>
          </w:tcPr>
          <w:p w:rsidR="00000000" w:rsidDel="00000000" w:rsidP="00000000" w:rsidRDefault="00000000" w:rsidRPr="00000000" w14:paraId="00000050">
            <w:pPr>
              <w:rPr/>
            </w:pPr>
            <w:r w:rsidDel="00000000" w:rsidR="00000000" w:rsidRPr="00000000">
              <w:rPr>
                <w:rtl w:val="0"/>
              </w:rPr>
              <w:t xml:space="preserve">Stationery</w:t>
            </w:r>
          </w:p>
        </w:tc>
        <w:tc>
          <w:tcPr>
            <w:tcMar>
              <w:top w:w="20.0" w:type="dxa"/>
              <w:left w:w="20.0" w:type="dxa"/>
              <w:bottom w:w="100.0" w:type="dxa"/>
              <w:right w:w="20.0" w:type="dxa"/>
            </w:tcMar>
            <w:vAlign w:val="bottom"/>
          </w:tcPr>
          <w:p w:rsidR="00000000" w:rsidDel="00000000" w:rsidP="00000000" w:rsidRDefault="00000000" w:rsidRPr="00000000" w14:paraId="00000051">
            <w:pPr>
              <w:rPr/>
            </w:pPr>
            <w:r w:rsidDel="00000000" w:rsidR="00000000" w:rsidRPr="00000000">
              <w:rPr>
                <w:rtl w:val="0"/>
              </w:rPr>
              <w:t xml:space="preserve">44</w:t>
            </w:r>
          </w:p>
        </w:tc>
      </w:tr>
      <w:tr>
        <w:trPr>
          <w:cantSplit w:val="0"/>
          <w:trHeight w:val="400" w:hRule="atLeast"/>
          <w:tblHeader w:val="0"/>
        </w:trPr>
        <w:tc>
          <w:tcPr>
            <w:tcBorders>
              <w:top w:color="95b3d7" w:space="0" w:sz="4" w:val="single"/>
            </w:tcBorders>
            <w:shd w:fill="dce6f1" w:val="clear"/>
            <w:tcMar>
              <w:top w:w="20.0" w:type="dxa"/>
              <w:left w:w="20.0" w:type="dxa"/>
              <w:bottom w:w="100.0" w:type="dxa"/>
              <w:right w:w="20.0" w:type="dxa"/>
            </w:tcMar>
            <w:vAlign w:val="bottom"/>
          </w:tcPr>
          <w:p w:rsidR="00000000" w:rsidDel="00000000" w:rsidP="00000000" w:rsidRDefault="00000000" w:rsidRPr="00000000" w14:paraId="00000052">
            <w:pPr>
              <w:rPr/>
            </w:pPr>
            <w:r w:rsidDel="00000000" w:rsidR="00000000" w:rsidRPr="00000000">
              <w:rPr>
                <w:b w:val="1"/>
                <w:bCs w:val="1"/>
                <w:rtl w:val="0"/>
              </w:rPr>
              <w:t xml:space="preserve">Grand Total</w:t>
            </w:r>
            <w:r w:rsidDel="00000000" w:rsidR="00000000" w:rsidRPr="00000000">
              <w:rPr>
                <w:rtl w:val="0"/>
              </w:rPr>
            </w:r>
          </w:p>
        </w:tc>
        <w:tc>
          <w:tcPr>
            <w:tcBorders>
              <w:top w:color="95b3d7" w:space="0" w:sz="4" w:val="single"/>
            </w:tcBorders>
            <w:shd w:fill="dce6f1" w:val="clear"/>
            <w:tcMar>
              <w:top w:w="20.0" w:type="dxa"/>
              <w:left w:w="20.0" w:type="dxa"/>
              <w:bottom w:w="100.0" w:type="dxa"/>
              <w:right w:w="20.0" w:type="dxa"/>
            </w:tcMar>
            <w:vAlign w:val="bottom"/>
          </w:tcPr>
          <w:p w:rsidR="00000000" w:rsidDel="00000000" w:rsidP="00000000" w:rsidRDefault="00000000" w:rsidRPr="00000000" w14:paraId="00000053">
            <w:pPr>
              <w:rPr/>
            </w:pPr>
            <w:r w:rsidDel="00000000" w:rsidR="00000000" w:rsidRPr="00000000">
              <w:rPr>
                <w:b w:val="1"/>
                <w:bCs w:val="1"/>
                <w:rtl w:val="0"/>
              </w:rPr>
              <w:t xml:space="preserve">242</w:t>
            </w:r>
            <w:r w:rsidDel="00000000" w:rsidR="00000000" w:rsidRPr="00000000">
              <w:rPr>
                <w:rtl w:val="0"/>
              </w:rPr>
            </w:r>
          </w:p>
        </w:tc>
      </w:tr>
    </w:tbl>
    <w:p w:rsidR="00000000" w:rsidDel="00000000" w:rsidP="00000000" w:rsidRDefault="00000000" w:rsidRPr="00000000" w14:paraId="00000054">
      <w:pPr>
        <w:rPr>
          <w:sz w:val="24"/>
          <w:szCs w:val="24"/>
        </w:rPr>
      </w:pPr>
      <w:r w:rsidDel="00000000" w:rsidR="00000000" w:rsidRPr="00000000">
        <w:rPr>
          <w:rtl w:val="0"/>
        </w:rPr>
      </w:r>
    </w:p>
    <w:p w:rsidR="00000000" w:rsidDel="00000000" w:rsidP="00000000" w:rsidRDefault="00000000" w:rsidRPr="00000000" w14:paraId="00000055">
      <w:pPr>
        <w:rPr/>
      </w:pPr>
      <w:r w:rsidDel="00000000" w:rsidR="00000000" w:rsidRPr="00000000">
        <w:rPr>
          <w:sz w:val="24"/>
          <w:szCs w:val="24"/>
          <w:rtl w:val="0"/>
        </w:rPr>
        <w:t xml:space="preserve">The chart indicates that Fruits and Household items account for the largest share of transactions, highlighting their role as regularly purchased essentials. In contrast, Personal Care and Stationery record fewer transactions, reflecting lower purchase frequency. This insight suggests that managers should prioritize inventory availability for high-demand categories, while applying targeted promotions or incentives to stimulate demand in categories with lower transaction volumes.</w:t>
      </w:r>
      <w:r w:rsidDel="00000000" w:rsidR="00000000" w:rsidRPr="00000000">
        <w:rPr>
          <w:rtl w:val="0"/>
        </w:rPr>
      </w:r>
    </w:p>
    <w:sectPr>
      <w:pgSz w:h="11909" w:w="16834"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9.png"/><Relationship Id="rId13" Type="http://schemas.openxmlformats.org/officeDocument/2006/relationships/hyperlink" Target="http://section.in" TargetMode="External"/><Relationship Id="rId12"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image" Target="media/image4.png"/><Relationship Id="rId14" Type="http://schemas.openxmlformats.org/officeDocument/2006/relationships/image" Target="media/image1.png"/><Relationship Id="rId17" Type="http://schemas.openxmlformats.org/officeDocument/2006/relationships/image" Target="media/image2.png"/><Relationship Id="rId16" Type="http://schemas.openxmlformats.org/officeDocument/2006/relationships/image" Target="media/image8.png"/><Relationship Id="rId5" Type="http://schemas.openxmlformats.org/officeDocument/2006/relationships/styles" Target="styles.xml"/><Relationship Id="rId6" Type="http://schemas.openxmlformats.org/officeDocument/2006/relationships/hyperlink" Target="http://df.info" TargetMode="External"/><Relationship Id="rId18" Type="http://schemas.openxmlformats.org/officeDocument/2006/relationships/image" Target="media/image6.png"/><Relationship Id="rId7" Type="http://schemas.openxmlformats.org/officeDocument/2006/relationships/image" Target="media/image5.png"/><Relationship Id="rId8" Type="http://schemas.openxmlformats.org/officeDocument/2006/relationships/hyperlink" Target="http://df.inf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