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54F803" wp14:paraId="3E902DE6" wp14:textId="6E35FD03">
      <w:pPr>
        <w:pStyle w:val="Heading1"/>
        <w:spacing w:before="322" w:beforeAutospacing="off" w:after="322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DISCHARGE SUMMARY (LAMA)</w:t>
      </w:r>
    </w:p>
    <w:p xmlns:wp14="http://schemas.microsoft.com/office/word/2010/wordml" wp14:paraId="73E0B2E4" wp14:textId="047A130B"/>
    <w:p xmlns:wp14="http://schemas.microsoft.com/office/word/2010/wordml" w:rsidP="5E54F803" wp14:paraId="74A5B2D5" wp14:textId="1EE3FAC7">
      <w:pPr>
        <w:pStyle w:val="Heading3"/>
        <w:spacing w:before="281" w:beforeAutospacing="off" w:after="281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PATIENT INFORMATION</w:t>
      </w:r>
    </w:p>
    <w:p xmlns:wp14="http://schemas.microsoft.com/office/word/2010/wordml" w:rsidP="5E54F803" wp14:paraId="53EC05FF" wp14:textId="0C5AFD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Patient Name: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Mr. V. Yakobu</w:t>
      </w:r>
    </w:p>
    <w:p xmlns:wp14="http://schemas.microsoft.com/office/word/2010/wordml" w:rsidP="5E54F803" wp14:paraId="07290107" wp14:textId="0B41A7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 / Gender: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35 Years / Male</w:t>
      </w:r>
    </w:p>
    <w:p xmlns:wp14="http://schemas.microsoft.com/office/word/2010/wordml" w:rsidP="5E54F803" wp14:paraId="1EDD20DD" wp14:textId="132BD42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UHID / Patient ID: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KHVW.225334 (KHC-225334)</w:t>
      </w:r>
    </w:p>
    <w:p xmlns:wp14="http://schemas.microsoft.com/office/word/2010/wordml" w:rsidP="5E54F803" wp14:paraId="5847253E" wp14:textId="2911891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IP Number: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49762</w:t>
      </w:r>
    </w:p>
    <w:p xmlns:wp14="http://schemas.microsoft.com/office/word/2010/wordml" w:rsidP="5E54F803" wp14:paraId="74D7CB1C" wp14:textId="1D99D3B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of Admission: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21/08/2026 (03:00 PM)</w:t>
      </w:r>
    </w:p>
    <w:p xmlns:wp14="http://schemas.microsoft.com/office/word/2010/wordml" w:rsidP="5E54F803" wp14:paraId="1E5848CF" wp14:textId="04ADA9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of Discharge (LAMA):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05/09/2026</w:t>
      </w:r>
    </w:p>
    <w:p xmlns:wp14="http://schemas.microsoft.com/office/word/2010/wordml" w:rsidP="5E54F803" wp14:paraId="35EE40B0" wp14:textId="205FA1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Medical Gastroenterology &amp; Critical Care Medicine</w:t>
      </w:r>
    </w:p>
    <w:p xmlns:wp14="http://schemas.microsoft.com/office/word/2010/wordml" w:rsidP="5E54F803" wp14:paraId="2CE8F970" wp14:textId="3B3338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Consultant: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Dr. G. Koushik (Medical Gastroenterology)</w:t>
      </w:r>
    </w:p>
    <w:p xmlns:wp14="http://schemas.microsoft.com/office/word/2010/wordml" w:rsidP="5E54F803" wp14:paraId="7B84DB20" wp14:textId="7B87D1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Multidisciplinary Team: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Dr. S. Kiran Kumar (Pulmonology), Dr. Reddeppa (Nephrology), Dr. Krishnamohan (Neurology), Critical Care Team (Dr. EVS Naidu / Dr. Vinathi / Dr. Shefali)</w:t>
      </w:r>
    </w:p>
    <w:p xmlns:wp14="http://schemas.microsoft.com/office/word/2010/wordml" w:rsidP="5E54F803" wp14:paraId="44C1B0A9" wp14:textId="25484B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Discharge Type: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LAMA (Left Against Medical Advice)</w:t>
      </w:r>
    </w:p>
    <w:p xmlns:wp14="http://schemas.microsoft.com/office/word/2010/wordml" wp14:paraId="0FE632C6" wp14:textId="0E12481C"/>
    <w:p xmlns:wp14="http://schemas.microsoft.com/office/word/2010/wordml" w:rsidP="5E54F803" wp14:paraId="63291722" wp14:textId="6BB34A03">
      <w:pPr>
        <w:pStyle w:val="Heading3"/>
        <w:spacing w:before="281" w:beforeAutospacing="off" w:after="281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DIAGNOSIS</w:t>
      </w:r>
    </w:p>
    <w:p xmlns:wp14="http://schemas.microsoft.com/office/word/2010/wordml" w:rsidP="5E54F803" wp14:paraId="7C9EACCB" wp14:textId="744AF4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Acute-on-Chronic Calcific Pancreatitis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infected peripancreatic / tail necrotic collection (35 × 24 mm)</w:t>
      </w:r>
    </w:p>
    <w:p xmlns:wp14="http://schemas.microsoft.com/office/word/2010/wordml" w:rsidP="5E54F803" wp14:paraId="18602861" wp14:textId="5FC70E4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Chronic Liver Disease (CLD)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portal hypertension, splenomegaly, and mesenteric collaterals</w:t>
      </w:r>
    </w:p>
    <w:p xmlns:wp14="http://schemas.microsoft.com/office/word/2010/wordml" w:rsidP="5E54F803" wp14:paraId="0EFCFC15" wp14:textId="169992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Septic Shock with Multi-Organ Dysfunction Syndrome (MODS)</w:t>
      </w:r>
    </w:p>
    <w:p xmlns:wp14="http://schemas.microsoft.com/office/word/2010/wordml" w:rsidP="5E54F803" wp14:paraId="2F0C09D0" wp14:textId="680A35D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Acute Respiratory Failure (Type II / Hypoxemic-Hypercapnic)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secondary to: </w:t>
      </w:r>
    </w:p>
    <w:p xmlns:wp14="http://schemas.microsoft.com/office/word/2010/wordml" w:rsidP="5E54F803" wp14:paraId="1EC602BB" wp14:textId="2E63780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Bilateral pneumonia / lower respiratory tract infection</w:t>
      </w:r>
    </w:p>
    <w:p xmlns:wp14="http://schemas.microsoft.com/office/word/2010/wordml" w:rsidP="5E54F803" wp14:paraId="61492CAF" wp14:textId="465CFE2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Massive left pleural effusion / hydropneumothorax status post Left Intercostal Drain (ICD) insertion</w:t>
      </w:r>
    </w:p>
    <w:p xmlns:wp14="http://schemas.microsoft.com/office/word/2010/wordml" w:rsidP="5E54F803" wp14:paraId="23F0FE83" wp14:textId="7C193F6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Right moderate-to-gross pleural effusion with compressive collapse-consolidation</w:t>
      </w:r>
    </w:p>
    <w:p xmlns:wp14="http://schemas.microsoft.com/office/word/2010/wordml" w:rsidP="5E54F803" wp14:paraId="711A741D" wp14:textId="0B47BD2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Acute Kidney Injury (AKI)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fluid overload (ATN vs. AIN), oliguria, requiring renal replacement therapy (SLED)</w:t>
      </w:r>
    </w:p>
    <w:p xmlns:wp14="http://schemas.microsoft.com/office/word/2010/wordml" w:rsidP="5E54F803" wp14:paraId="7838A67F" wp14:textId="4E2BBC4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Severe Sepsis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endotracheal aspirate culture positive for </w:t>
      </w:r>
      <w:r w:rsidRPr="5E54F803" w:rsidR="722EE11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Candida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species</w:t>
      </w:r>
    </w:p>
    <w:p xmlns:wp14="http://schemas.microsoft.com/office/word/2010/wordml" w:rsidP="5E54F803" wp14:paraId="68302568" wp14:textId="6B4CDD8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Severe Anemia &amp; Sepsis-Induced Coagulopathy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status post multiple PRBC &amp; FFP transfusions</w:t>
      </w:r>
    </w:p>
    <w:p xmlns:wp14="http://schemas.microsoft.com/office/word/2010/wordml" w:rsidP="5E54F803" wp14:paraId="2472370B" wp14:textId="1002AFC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Subacute Progressive Quadriparesis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secondary to severe alcoholic/nutritional polyneuropathy vs. myopathy</w:t>
      </w:r>
    </w:p>
    <w:p xmlns:wp14="http://schemas.microsoft.com/office/word/2010/wordml" w:rsidP="5E54F803" wp14:paraId="458F41AA" wp14:textId="4638B04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Spine Findings: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Grade-I anterolisthesis of L5 over S1 with bilateral spondylolysis; C3–C4 and L5–S1 disc bulge</w:t>
      </w:r>
    </w:p>
    <w:p xmlns:wp14="http://schemas.microsoft.com/office/word/2010/wordml" w:rsidP="5E54F803" wp14:paraId="143BCBB5" wp14:textId="574B57E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Chronic Alcohol Use Disorder</w:t>
      </w:r>
    </w:p>
    <w:p xmlns:wp14="http://schemas.microsoft.com/office/word/2010/wordml" wp14:paraId="77A725A9" wp14:textId="198D1BE6"/>
    <w:p xmlns:wp14="http://schemas.microsoft.com/office/word/2010/wordml" w:rsidP="5E54F803" wp14:paraId="45B5448B" wp14:textId="79A424BC">
      <w:pPr>
        <w:pStyle w:val="Heading3"/>
        <w:spacing w:before="281" w:beforeAutospacing="off" w:after="281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HISTORY OF PRESENTING ILLNESS</w:t>
      </w:r>
    </w:p>
    <w:p xmlns:wp14="http://schemas.microsoft.com/office/word/2010/wordml" w:rsidP="5E54F803" wp14:paraId="6556BA70" wp14:textId="6223BFC3">
      <w:pPr>
        <w:spacing w:before="240" w:beforeAutospacing="off" w:after="240" w:afterAutospacing="off"/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A 35-year-old male with a documented background of chronic calcific pancreatitis and chronic alcohol dependence was brought to the Emergency Department by his family with:</w:t>
      </w:r>
    </w:p>
    <w:p xmlns:wp14="http://schemas.microsoft.com/office/word/2010/wordml" w:rsidP="5E54F803" wp14:paraId="6AAEFEBC" wp14:textId="6A17A65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Severe abdominal pain for 4–5 days, insidious in onset, diffuse, aching, and progressive.</w:t>
      </w:r>
    </w:p>
    <w:p xmlns:wp14="http://schemas.microsoft.com/office/word/2010/wordml" w:rsidP="5E54F803" wp14:paraId="43ABA4B5" wp14:textId="3A11213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Yellowish discoloration of sclera and high-colored urine for 4–5 days.</w:t>
      </w:r>
    </w:p>
    <w:p xmlns:wp14="http://schemas.microsoft.com/office/word/2010/wordml" w:rsidP="5E54F803" wp14:paraId="755E1909" wp14:textId="7FE2AAA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Persistent nausea and multiple episodes of retching for 4–5 days.</w:t>
      </w:r>
    </w:p>
    <w:p xmlns:wp14="http://schemas.microsoft.com/office/word/2010/wordml" w:rsidP="5E54F803" wp14:paraId="1DFD8C1F" wp14:textId="7A0057A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Progressive generalized weakness, bilateral lower limb &gt; upper limb weakness for 3 months, acutely worsening over the preceding 2 weeks rendering him bed-bound with paresthesias.</w:t>
      </w:r>
    </w:p>
    <w:p xmlns:wp14="http://schemas.microsoft.com/office/word/2010/wordml" w:rsidP="5E54F803" wp14:paraId="02D970E7" wp14:textId="4E9E1FF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Marked loss of appetite and severe involuntary weight loss/malnourishment over the past 2–3 years.</w:t>
      </w:r>
    </w:p>
    <w:p xmlns:wp14="http://schemas.microsoft.com/office/word/2010/wordml" w:rsidP="5E54F803" wp14:paraId="7F9FCCFF" wp14:textId="39B2A2B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History of heavy alcohol binge 2 days prior to presentation.</w:t>
      </w:r>
    </w:p>
    <w:p xmlns:wp14="http://schemas.microsoft.com/office/word/2010/wordml" w:rsidP="5E54F803" wp14:paraId="25936369" wp14:textId="4648F22E">
      <w:pPr>
        <w:spacing w:before="240" w:beforeAutospacing="off" w:after="240" w:afterAutospacing="off"/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No history of fever at presentation, hematemesis, melena, seizures, head trauma, or chest pain.</w:t>
      </w:r>
    </w:p>
    <w:p xmlns:wp14="http://schemas.microsoft.com/office/word/2010/wordml" wp14:paraId="1FF541C1" wp14:textId="02955D80"/>
    <w:p xmlns:wp14="http://schemas.microsoft.com/office/word/2010/wordml" w:rsidP="5E54F803" wp14:paraId="3F00FEB5" wp14:textId="41A0100A">
      <w:pPr>
        <w:pStyle w:val="Heading3"/>
        <w:spacing w:before="281" w:beforeAutospacing="off" w:after="281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EXAMINATION ON ADMISSION</w:t>
      </w:r>
    </w:p>
    <w:p xmlns:wp14="http://schemas.microsoft.com/office/word/2010/wordml" w:rsidP="5E54F803" wp14:paraId="2AED5DE1" wp14:textId="3ADA87E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General Condition: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Patient was conscious, drowsy, visibly malnourished, poorly built and nourished.</w:t>
      </w:r>
    </w:p>
    <w:p xmlns:wp14="http://schemas.microsoft.com/office/word/2010/wordml" w:rsidP="5E54F803" wp14:paraId="7E6BE24D" wp14:textId="7087389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Pallor: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Present</w:t>
      </w:r>
    </w:p>
    <w:p xmlns:wp14="http://schemas.microsoft.com/office/word/2010/wordml" w:rsidP="5E54F803" wp14:paraId="257E505E" wp14:textId="7A660E7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Icterus: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Present (deep scleral icterus)</w:t>
      </w:r>
    </w:p>
    <w:p xmlns:wp14="http://schemas.microsoft.com/office/word/2010/wordml" w:rsidP="5E54F803" wp14:paraId="45B908A6" wp14:textId="2233151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Cyanosis / Clubbing / Lymphadenopathy / Pedal Edema: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Absent initially</w:t>
      </w:r>
    </w:p>
    <w:p xmlns:wp14="http://schemas.microsoft.com/office/word/2010/wordml" w:rsidP="5E54F803" wp14:paraId="4F027859" wp14:textId="5A0A2D6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GCS at Presentation: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E4 V5 M6 (15/15)</w:t>
      </w:r>
    </w:p>
    <w:p xmlns:wp14="http://schemas.microsoft.com/office/word/2010/wordml" w:rsidP="5E54F803" wp14:paraId="09F3BE89" wp14:textId="6C54D0FF">
      <w:pPr>
        <w:pStyle w:val="Heading4"/>
        <w:spacing w:before="319" w:beforeAutospacing="off" w:after="319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Vitals on Admission:</w:t>
      </w:r>
    </w:p>
    <w:p xmlns:wp14="http://schemas.microsoft.com/office/word/2010/wordml" w:rsidP="5E54F803" wp14:paraId="09B05075" wp14:textId="79EBE53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Pulse Rate: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145 beats/min (sinus tachycardia)</w:t>
      </w:r>
    </w:p>
    <w:p xmlns:wp14="http://schemas.microsoft.com/office/word/2010/wordml" w:rsidP="5E54F803" wp14:paraId="5F92226E" wp14:textId="4CBD83D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Blood Pressure: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90/60 mmHg</w:t>
      </w:r>
    </w:p>
    <w:p xmlns:wp14="http://schemas.microsoft.com/office/word/2010/wordml" w:rsidP="5E54F803" wp14:paraId="452897E4" wp14:textId="1C9B61F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Respiratory Rate: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18–19 breaths/min</w:t>
      </w:r>
    </w:p>
    <w:p xmlns:wp14="http://schemas.microsoft.com/office/word/2010/wordml" w:rsidP="5E54F803" wp14:paraId="056E8132" wp14:textId="6ACF8CE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SpO₂: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100% on room air</w:t>
      </w:r>
    </w:p>
    <w:p xmlns:wp14="http://schemas.microsoft.com/office/word/2010/wordml" w:rsidP="5E54F803" wp14:paraId="4632806E" wp14:textId="181F7EF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Temperature: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97.8°F (Afebrile)</w:t>
      </w:r>
    </w:p>
    <w:p xmlns:wp14="http://schemas.microsoft.com/office/word/2010/wordml" w:rsidP="5E54F803" wp14:paraId="76C28346" wp14:textId="38B6D02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GRBS: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147 mg/dL</w:t>
      </w:r>
    </w:p>
    <w:p xmlns:wp14="http://schemas.microsoft.com/office/word/2010/wordml" w:rsidP="5E54F803" wp14:paraId="27E87CE9" wp14:textId="27DDE40F">
      <w:pPr>
        <w:pStyle w:val="Heading4"/>
        <w:spacing w:before="319" w:beforeAutospacing="off" w:after="319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Systemic Examination:</w:t>
      </w:r>
    </w:p>
    <w:p xmlns:wp14="http://schemas.microsoft.com/office/word/2010/wordml" w:rsidP="5E54F803" wp14:paraId="6475E465" wp14:textId="198F586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 Abdomen (P/A):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Soft, diffuse tenderness across epigastrium and umbilical region, no guarding or rigidity, normal bowel sounds heard.</w:t>
      </w:r>
    </w:p>
    <w:p xmlns:wp14="http://schemas.microsoft.com/office/word/2010/wordml" w:rsidP="5E54F803" wp14:paraId="4430B712" wp14:textId="355D9B0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Respiratory System (RS):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Bilateral air entry present; basal crackles/crepitations noted.</w:t>
      </w:r>
    </w:p>
    <w:p xmlns:wp14="http://schemas.microsoft.com/office/word/2010/wordml" w:rsidP="5E54F803" wp14:paraId="55A66A7D" wp14:textId="7DC5E00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Cardiovascular System (CVS):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S1, S2 heard; sinus tachycardia present, no murmurs.</w:t>
      </w:r>
    </w:p>
    <w:p xmlns:wp14="http://schemas.microsoft.com/office/word/2010/wordml" w:rsidP="5E54F803" wp14:paraId="0FEBD37C" wp14:textId="219C048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 Nervous System (CNS):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Conscious, obeying commands. Cranial nerves grossly intact. Bilateral generalized muscle wasting present. Generalized hypotonia. </w:t>
      </w:r>
    </w:p>
    <w:p xmlns:wp14="http://schemas.microsoft.com/office/word/2010/wordml" w:rsidP="5E54F803" wp14:paraId="3B142F15" wp14:textId="0F8A8BC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Power: Upper Limbs (Proximal 3/5, Distal 3/5); Lower Limbs (Proximal 2/5, Distal 1–2/5).</w:t>
      </w:r>
    </w:p>
    <w:p xmlns:wp14="http://schemas.microsoft.com/office/word/2010/wordml" w:rsidP="5E54F803" wp14:paraId="0E6892C9" wp14:textId="0A2A956E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Deep Tendon Reflexes: Generally diminished in all four limbs. Plantars flexor bilaterally.</w:t>
      </w:r>
    </w:p>
    <w:p xmlns:wp14="http://schemas.microsoft.com/office/word/2010/wordml" w:rsidP="5E54F803" wp14:paraId="7AD964E3" wp14:textId="17A801D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Bowel &amp; Bladder Habits: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Constipated (no stools for 48 hours prior to admission); Foley catheterized.</w:t>
      </w:r>
    </w:p>
    <w:p xmlns:wp14="http://schemas.microsoft.com/office/word/2010/wordml" wp14:paraId="544D46DC" wp14:textId="505D2A10"/>
    <w:p xmlns:wp14="http://schemas.microsoft.com/office/word/2010/wordml" w:rsidP="5E54F803" wp14:paraId="3E218C5F" wp14:textId="6258F547">
      <w:pPr>
        <w:pStyle w:val="Heading3"/>
        <w:spacing w:before="281" w:beforeAutospacing="off" w:after="281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PAST MEDICAL HISTORY</w:t>
      </w:r>
    </w:p>
    <w:p xmlns:wp14="http://schemas.microsoft.com/office/word/2010/wordml" w:rsidP="5E54F803" wp14:paraId="13D402C5" wp14:textId="7B34F30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Chronic Calcific Pancreatitis (diagnosed 2023; previous admission for acute flare and alcoholic neuropathy).</w:t>
      </w:r>
    </w:p>
    <w:p xmlns:wp14="http://schemas.microsoft.com/office/word/2010/wordml" w:rsidP="5E54F803" wp14:paraId="7393FCAA" wp14:textId="4F799DE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Alcoholic Peripheral Neuropathy.</w:t>
      </w:r>
    </w:p>
    <w:p xmlns:wp14="http://schemas.microsoft.com/office/word/2010/wordml" w:rsidP="5E54F803" wp14:paraId="7AB90495" wp14:textId="2C295D9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Chronic Alcohol Dependence.</w:t>
      </w:r>
    </w:p>
    <w:p xmlns:wp14="http://schemas.microsoft.com/office/word/2010/wordml" w:rsidP="5E54F803" wp14:paraId="5E7F067E" wp14:textId="79D7701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No known prior history of Diabetes Mellitus, Hypertension, CAD, or Pulmonary Tuberculosis.</w:t>
      </w:r>
    </w:p>
    <w:p xmlns:wp14="http://schemas.microsoft.com/office/word/2010/wordml" wp14:paraId="2C431749" wp14:textId="1E92B0D0"/>
    <w:p xmlns:wp14="http://schemas.microsoft.com/office/word/2010/wordml" w:rsidP="5E54F803" wp14:paraId="69B88676" wp14:textId="39AD606C">
      <w:pPr>
        <w:pStyle w:val="Heading3"/>
        <w:spacing w:before="281" w:beforeAutospacing="off" w:after="281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INVESTIGATIONS SUMMARY</w:t>
      </w:r>
    </w:p>
    <w:p xmlns:wp14="http://schemas.microsoft.com/office/word/2010/wordml" w:rsidP="5E54F803" wp14:paraId="4CF886C5" wp14:textId="59C45018">
      <w:pPr>
        <w:pStyle w:val="Heading4"/>
        <w:spacing w:before="319" w:beforeAutospacing="off" w:after="319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Complete Blood Count &amp; Renal/Liver Trends:</w:t>
      </w:r>
    </w:p>
    <w:p xmlns:wp14="http://schemas.microsoft.com/office/word/2010/wordml" w:rsidP="5E54F803" wp14:paraId="767DEACF" wp14:textId="32D645B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21/08/2026: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Hb 6.6 g/dL, PCV 20.7%, TLC 15,820/µL, Platelets 335,000/µL | Urea 24 mg/dL, Creatinine 0.7 mg/dL | Na 127, K 4.0 | Total Bilirubin 4.4 mg/dL (Direct 2.4), SGPT 12, SGOT 59, ALP 308, Total Protein 8.0 g/dL, Albumin 2.3 g/dL | CRP 77.2 mg/L.</w:t>
      </w:r>
    </w:p>
    <w:p xmlns:wp14="http://schemas.microsoft.com/office/word/2010/wordml" w:rsidP="5E54F803" wp14:paraId="404DCC82" wp14:textId="249A661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24/08/2026: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TLC 16,370/µL | Creatinine 0.9 mg/dL | Total Bilirubin 3.7 mg/dL | Procalcitonin 0.99 ng/mL, CRP 98.3 mg/L.</w:t>
      </w:r>
    </w:p>
    <w:p xmlns:wp14="http://schemas.microsoft.com/office/word/2010/wordml" w:rsidP="5E54F803" wp14:paraId="319EB2F1" wp14:textId="13A4B19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28/08/2026 (Intubation):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Hb 10.3 g/dL, TLC 27,640/µL, Platelets 292,000/µL | Urea 15 mg/dL, Creatinine 0.74 mg/dL | Na 138, K 3.8 | Total Bilirubin 2.9 mg/dL, SGOT 123, SGPT 41, ALP 414 | CRP 104.0 mg/L | PT 21.0s, INR 1.32.</w:t>
      </w:r>
    </w:p>
    <w:p xmlns:wp14="http://schemas.microsoft.com/office/word/2010/wordml" w:rsidP="5E54F803" wp14:paraId="72BC855D" wp14:textId="311D58E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31/08/2026: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Hb 9.0 g/dL, TLC 27,630/µL, Platelets 145,000/µL | Urea 34 mg/dL, Creatinine 0.8 mg/dL | Total Bilirubin 2.3 mg/dL | CRP 112 mg/L | Sr. Ammonia 165 µmol/L (on 29/08) | Pleural Fluid Amylase: 05 U/L.</w:t>
      </w:r>
    </w:p>
    <w:p xmlns:wp14="http://schemas.microsoft.com/office/word/2010/wordml" w:rsidP="5E54F803" wp14:paraId="47248786" wp14:textId="1028960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05/09/2026 (Day of LAMA):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Hb 7.7 g/dL, PCV 25.7%, TLC 33,130/µL (severe leukocytosis), Platelets 18,000/µL (critical thrombocytopenia) | Urea 61 mg/dL, Creatinine 2.3 mg/dL | Na 143, K 5.1 mEq/L | Total Bilirubin 5.7 mg/dL, SGOT 179, SGPT 44, ALP 498 | PT 45.5s, INR 2.87, APTT 180.0s (profound coagulopathy).</w:t>
      </w:r>
    </w:p>
    <w:p xmlns:wp14="http://schemas.microsoft.com/office/word/2010/wordml" w:rsidP="5E54F803" wp14:paraId="2238064B" wp14:textId="7F5EBC1E">
      <w:pPr>
        <w:pStyle w:val="Heading4"/>
        <w:spacing w:before="319" w:beforeAutospacing="off" w:after="319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Imaging &amp; Diagnostics:</w:t>
      </w:r>
    </w:p>
    <w:p xmlns:wp14="http://schemas.microsoft.com/office/word/2010/wordml" w:rsidP="5E54F803" wp14:paraId="33EA3380" wp14:textId="4FE7045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 Abdomen &amp; Pelvis with IV Contrast (22/08/2026):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Hepatomegaly with chronic parenchymal changes and portal hypertension (periportal, mesenteric collaterals); 4 mm cholelithiasis; acute-on-chronic calcific pancreatitis with a 35 × 24 mm thick-walled necrotic collection in pancreatic tail; prominent main pancreatic duct (3.2 mm); bilateral pleural effusions with compressive atelectasis; minimal free fluid in pelvis and paracolic gutters.</w:t>
      </w:r>
    </w:p>
    <w:p xmlns:wp14="http://schemas.microsoft.com/office/word/2010/wordml" w:rsidP="5E54F803" wp14:paraId="115AC436" wp14:textId="62F8806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MRCP (24/08/2026):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Corroborated chronic calcific pancreatitis with a 35 × 24 mm necrotic collection in the tail; mild IHBRD with periductal T2 haziness suggesting cholangitis; dilated CHD (7.8 mm) and CBD (8.3 mm); gallbladder calculus; minimal ascites and bilateral pleural effusion.</w:t>
      </w:r>
    </w:p>
    <w:p xmlns:wp14="http://schemas.microsoft.com/office/word/2010/wordml" w:rsidP="5E54F803" wp14:paraId="55218BFD" wp14:textId="2B227A1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MRI Spine (24/08/2026):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54F803" wp14:paraId="3DF3FC21" wp14:textId="51C9A69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Cervical: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Mild C3–C4 disc bulge indenting anterior thecal sac; spinal cord normal.</w:t>
      </w:r>
    </w:p>
    <w:p xmlns:wp14="http://schemas.microsoft.com/office/word/2010/wordml" w:rsidP="5E54F803" wp14:paraId="7EB3164E" wp14:textId="5A1E3735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LS Spine: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Grade-I anterolisthesis of L5 over S1 with bilateral spondylolysis at L5; circumferential L5–S1 disc bulge with bilateral lateral recess narrowing abutting adjacent nerve roots.</w:t>
      </w:r>
    </w:p>
    <w:p xmlns:wp14="http://schemas.microsoft.com/office/word/2010/wordml" w:rsidP="5E54F803" wp14:paraId="208C2FC2" wp14:textId="7618499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 Chest Plain (29/08/2026):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Left gross hydropneumothorax with left ICD in situ; complete collapse-consolidation of left lower lobe; moderate-to-gross right pleural effusion with right lower lobe collapse; patchy consolidation in bilateral lung fields; reactive mediastinal lymphadenopathy.</w:t>
      </w:r>
    </w:p>
    <w:p xmlns:wp14="http://schemas.microsoft.com/office/word/2010/wordml" w:rsidP="5E54F803" wp14:paraId="171D9391" wp14:textId="3EE54AF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Bedside 2D Echo (23/08/2026):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Sinus tachycardia, fair LV systolic function, Grade-I diastolic dysfunction, mild pulmonary arterial hypertension (PAH), bilateral pleural effusions, no pericardial effusion/clot.</w:t>
      </w:r>
    </w:p>
    <w:p xmlns:wp14="http://schemas.microsoft.com/office/word/2010/wordml" w:rsidP="5E54F803" wp14:paraId="23FF78A1" wp14:textId="0086D20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Fiberoptic Bronchoscopy (04/09/2026):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Normal tracheobronchial anatomy; purulent/mucoid secretions cleared from right and left bronchial tree; BAL obtained for AFB, CBNAAT, Gram stain, and cultures.</w:t>
      </w:r>
    </w:p>
    <w:p xmlns:wp14="http://schemas.microsoft.com/office/word/2010/wordml" w:rsidP="5E54F803" wp14:paraId="26FA6AA0" wp14:textId="39627AF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Microbiology (31/08/2026):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Endotracheal secretion culture demonstrated colonies of </w:t>
      </w:r>
      <w:r w:rsidRPr="5E54F803" w:rsidR="722EE11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Candida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species.</w:t>
      </w:r>
    </w:p>
    <w:p xmlns:wp14="http://schemas.microsoft.com/office/word/2010/wordml" w:rsidP="5E54F803" wp14:paraId="30AE5786" wp14:textId="7A38CB1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Tumor Markers (23/08/2026):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 19-9: 0.6 U/mL (Normal); CEA: 3.65 ng/mL (Normal).</w:t>
      </w:r>
    </w:p>
    <w:p xmlns:wp14="http://schemas.microsoft.com/office/word/2010/wordml" w:rsidP="5E54F803" wp14:paraId="7B454362" wp14:textId="24D8CB4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Viral Serology: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Non-reactive for HIV, HBsAg, HCV, and VDRL. Dengue NS1/IgM negative.</w:t>
      </w:r>
    </w:p>
    <w:p xmlns:wp14="http://schemas.microsoft.com/office/word/2010/wordml" wp14:paraId="09A7B1DF" wp14:textId="05F0FB22"/>
    <w:p xmlns:wp14="http://schemas.microsoft.com/office/word/2010/wordml" w:rsidP="5E54F803" wp14:paraId="34636EC2" wp14:textId="34FB9EDB">
      <w:pPr>
        <w:pStyle w:val="Heading3"/>
        <w:spacing w:before="281" w:beforeAutospacing="off" w:after="281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HOSPITAL COURSE</w:t>
      </w:r>
    </w:p>
    <w:p xmlns:wp14="http://schemas.microsoft.com/office/word/2010/wordml" w:rsidP="5E54F803" wp14:paraId="10C113E7" wp14:textId="2ADD522F">
      <w:pPr>
        <w:spacing w:before="240" w:beforeAutospacing="off" w:after="240" w:afterAutospacing="off"/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The patient was initially admitted under Medical Gastroenterology for the management of acute flare-up of chronic calcific pancreatitis, jaundice, severe wasting, and progressive quadriparesis. Initial management included aggressive intravenous hydration, parenteral thiamine, proton pump inhibitors, pancreatic enzyme replacement therapy (Creon), ursodeoxycholic acid, and broad-spectrum antibiotics (Piperacillin-Tazobactam). Neurology evaluation confirmed severe nutritional/alcoholic peripheral neuropathy; Ivabradine was started for persistent resting sinus tachycardia.</w:t>
      </w:r>
    </w:p>
    <w:p xmlns:wp14="http://schemas.microsoft.com/office/word/2010/wordml" w:rsidP="5E54F803" wp14:paraId="6BC04925" wp14:textId="1D13FD35">
      <w:pPr>
        <w:spacing w:before="240" w:beforeAutospacing="off" w:after="240" w:afterAutospacing="off"/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</w:t>
      </w: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28/08/2026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patient suffered acute respiratory deterioration with severe desaturation (SpO₂ dropped to 50% on room air) and altered sensorium. An urgent ABG revealed severe mixed respiratory and metabolic acidosis (pH 7.05, pCO₂ 78 mmHg, pO₂ 66.8 mmHg). The patient underwent emergency endotracheal intubation, was connected to mechanical ventilation, and was transferred to the Intensive Care Unit (AMCU). Due to high-grade left-sided hydropneumothorax and massive pleural effusion, an urgent </w:t>
      </w: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Left Intercostal Chest Drain (ICD)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inserted in the 5th intercostal space under local anesthesia, establishing an underwater seal drain.</w:t>
      </w:r>
    </w:p>
    <w:p xmlns:wp14="http://schemas.microsoft.com/office/word/2010/wordml" w:rsidP="5E54F803" wp14:paraId="2291142B" wp14:textId="0ADBB038">
      <w:pPr>
        <w:spacing w:before="240" w:beforeAutospacing="off" w:after="240" w:afterAutospacing="off"/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Over the subsequent ICU stay, his course was complicated by septic shock requiring vasopressor/inotropic support (Noradrenaline infusion), escalation of antibiotics to IV Meropenem and Vancomycin, and ongoing chest clearance. A trial of extubation on 01/09/2026 was unsuccessful due to recurrence of respiratory fatigue, pulmonary congestion, and drowsiness. Fiberoptic bronchoscopy with BAL clearance was performed on 04/09/2026.</w:t>
      </w:r>
    </w:p>
    <w:p xmlns:wp14="http://schemas.microsoft.com/office/word/2010/wordml" w:rsidP="5E54F803" wp14:paraId="0C03C942" wp14:textId="41982986">
      <w:pPr>
        <w:spacing w:before="240" w:beforeAutospacing="off" w:after="240" w:afterAutospacing="off"/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</w:t>
      </w: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02/09/2026 to 05/09/2026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patient developed Acute Kidney Injury with marked oliguria (urine output 40 mL/hr), azotemia (Serum Creatinine rising to 2.3 mg/dL, Blood Urea 61 mg/dL), metabolic disturbances, and secondary volume overload with pulmonary congestion. Nephrology evaluated the patient and advised immediate initiation of renal replacement therapy via </w:t>
      </w: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Sustained Low-Efficiency Dialysis (SLED)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heparin. In addition, the patient developed worsening pancytopenia/severe coagulopathy (Platelets 18,000/µL, PT 45.5s, INR 2.87), managed with multiple Packed Red Blood Cell (PRBC) and Fresh Frozen Plasma (FFP) transfusions.</w:t>
      </w:r>
    </w:p>
    <w:p xmlns:wp14="http://schemas.microsoft.com/office/word/2010/wordml" w:rsidP="5E54F803" wp14:paraId="347A8AD7" wp14:textId="2BAEAE15">
      <w:pPr>
        <w:spacing w:before="240" w:beforeAutospacing="off" w:after="240" w:afterAutospacing="off"/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</w:t>
      </w: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05/09/2026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while the patient was receiving invasive mechanical ventilation, inotropic support, and preparing for hemodialysis (SLED), the patient's family/attendants expressed their unwillingness to continue treatment in the ICU due to personal and financial constraints and insisted on discharging the patient </w:t>
      </w: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Against Medical Advice (LAMA)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1952A27" wp14:textId="585B19BE"/>
    <w:p xmlns:wp14="http://schemas.microsoft.com/office/word/2010/wordml" w:rsidP="5E54F803" wp14:paraId="2B22EDA0" wp14:textId="484BB716">
      <w:pPr>
        <w:pStyle w:val="Heading3"/>
        <w:spacing w:before="281" w:beforeAutospacing="off" w:after="281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LAMA DISCHARGE COUNSELING / CONDITION AT DISCHARGE</w:t>
      </w:r>
    </w:p>
    <w:p xmlns:wp14="http://schemas.microsoft.com/office/word/2010/wordml" w:rsidP="5E54F803" wp14:paraId="46D3615E" wp14:textId="695A6FF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Discharge Status: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LEFT AGAINST MEDICAL ADVICE (LAMA)</w:t>
      </w:r>
    </w:p>
    <w:p xmlns:wp14="http://schemas.microsoft.com/office/word/2010/wordml" w:rsidP="5E54F803" wp14:paraId="63CE355A" wp14:textId="2113FF1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Clinical Condition at Departure: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/ HEMODYNAMICALLY UNSTABLE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54F803" wp14:paraId="7FF7B25C" wp14:textId="6BA88BA5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Patient was on invasive mechanical ventilation (AC/VC mode) via endotracheal tube with left intercostal drain in situ.</w:t>
      </w:r>
    </w:p>
    <w:p xmlns:wp14="http://schemas.microsoft.com/office/word/2010/wordml" w:rsidP="5E54F803" wp14:paraId="3F59C194" wp14:textId="68519CB8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Vasopressor support (Noradrenaline infusion) was ongoing for septic shock.</w:t>
      </w:r>
    </w:p>
    <w:p xmlns:wp14="http://schemas.microsoft.com/office/word/2010/wordml" w:rsidP="5E54F803" wp14:paraId="307CEE39" wp14:textId="2E4291D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Patient was in acute renal failure (oliguric) with severe pulmonary edema, hyperkalemia risk, severe thrombocytopenia (Platelets 18,000), and uncorrected coagulopathy (INR 2.87).</w:t>
      </w:r>
    </w:p>
    <w:p xmlns:wp14="http://schemas.microsoft.com/office/word/2010/wordml" w:rsidP="5E54F803" wp14:paraId="08A405B0" wp14:textId="7D7B866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Counseling Details:</w:t>
      </w:r>
    </w:p>
    <w:p xmlns:wp14="http://schemas.microsoft.com/office/word/2010/wordml" w:rsidP="5E54F803" wp14:paraId="12001A76" wp14:textId="130BF348">
      <w:pPr>
        <w:spacing w:before="0" w:beforeAutospacing="off" w:after="0" w:afterAutospacing="off"/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treating team (Critical Care, Gastroenterology, and Nephrology) extensively counseled the patient's wife and primary caregivers regarding the critical nature of the patient’s multiorgan dysfunction. It was explicitly explained that: </w:t>
      </w:r>
    </w:p>
    <w:p xmlns:wp14="http://schemas.microsoft.com/office/word/2010/wordml" w:rsidP="5E54F803" wp14:paraId="290FF4DC" wp14:textId="1BAEC781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The patient is critically dependent on life support (mechanical ventilator and inotropes).</w:t>
      </w:r>
    </w:p>
    <w:p xmlns:wp14="http://schemas.microsoft.com/office/word/2010/wordml" w:rsidP="5E54F803" wp14:paraId="3A3D56E0" wp14:textId="49E6EBCC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Discontinuation of ICU care, removal of ventilator support, or delay in hemodialysis carries an extremely high, almost certain risk of sudden cardiorespiratory arrest, multi-organ collapse, and </w:t>
      </w: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death during transit or shortly thereafter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E54F803" wp14:paraId="3AB93084" wp14:textId="38E5E973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The family understood the grave prognosis and potential lethal consequences, refused further inpatient resuscitation/dialysis at this facility, and executed the signed High-Risk LAMA bond against physician advice.</w:t>
      </w:r>
    </w:p>
    <w:p xmlns:wp14="http://schemas.microsoft.com/office/word/2010/wordml" wp14:paraId="19414C01" wp14:textId="19DB5B96"/>
    <w:p xmlns:wp14="http://schemas.microsoft.com/office/word/2010/wordml" w:rsidP="5E54F803" wp14:paraId="1C8F2ADF" wp14:textId="6EFF4B28">
      <w:pPr>
        <w:pStyle w:val="Heading3"/>
        <w:spacing w:before="281" w:beforeAutospacing="off" w:after="281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MEDICATIONS &amp; CARE ADVICE (GIVEN UNDER LAMA CONDITIONS)</w:t>
      </w:r>
    </w:p>
    <w:p xmlns:wp14="http://schemas.microsoft.com/office/word/2010/wordml" w:rsidP="5E54F803" wp14:paraId="2D0623B6" wp14:textId="6668A826">
      <w:pPr>
        <w:spacing w:before="240" w:beforeAutospacing="off" w:after="240" w:afterAutospacing="off"/>
      </w:pPr>
      <w:r w:rsidRPr="5E54F803" w:rsidR="722EE11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family was strongly urged to immediately transfer the patient via an Advanced Life Support (ALS) Cardiac Ambulance to a tertiary/government hospital with intensive care and ventilator support capabilities.</w:t>
      </w:r>
    </w:p>
    <w:p xmlns:wp14="http://schemas.microsoft.com/office/word/2010/wordml" w:rsidP="5E54F803" wp14:paraId="6C3C2D18" wp14:textId="58A043C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Continue Critical Airway / Invasive Care (if admitted to another intensive center):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E54F803" wp14:paraId="1558AE24" wp14:textId="082118F9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Maintenance of Endotracheal Tube position, suctioning, and mechanical ventilation.</w:t>
      </w:r>
    </w:p>
    <w:p xmlns:wp14="http://schemas.microsoft.com/office/word/2010/wordml" w:rsidP="5E54F803" wp14:paraId="39B85721" wp14:textId="204EFA45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Maintenance of Left Intercostal Drain under water-seal; strict monitoring of air leak and fluid output.</w:t>
      </w:r>
    </w:p>
    <w:p xmlns:wp14="http://schemas.microsoft.com/office/word/2010/wordml" w:rsidP="5E54F803" wp14:paraId="47CF2081" wp14:textId="4CA3EFC1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Urgent initiation of Renal Replacement Therapy (SLED / CRRT) as advised by Nephrology.</w:t>
      </w:r>
    </w:p>
    <w:p xmlns:wp14="http://schemas.microsoft.com/office/word/2010/wordml" w:rsidP="5E54F803" wp14:paraId="2D05926F" wp14:textId="08A47E16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Broad-spectrum antimicrobial coverage: Inj. Meropenem 1g IV TDS (dose-adjusted for renal failure), antifungal coverage for </w:t>
      </w:r>
      <w:r w:rsidRPr="5E54F803" w:rsidR="722EE11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Candida</w:t>
      </w: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colonization.</w:t>
      </w:r>
    </w:p>
    <w:p xmlns:wp14="http://schemas.microsoft.com/office/word/2010/wordml" w:rsidP="5E54F803" wp14:paraId="5F6DE71B" wp14:textId="3D176B16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Vasopressor titration for Mean Arterial Pressure (MAP) &gt; 65 mmHg.</w:t>
      </w:r>
    </w:p>
    <w:p xmlns:wp14="http://schemas.microsoft.com/office/word/2010/wordml" w:rsidP="5E54F803" wp14:paraId="0AF45059" wp14:textId="6B1AA522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Blood component therapy (Platelet concentrates, Fresh Frozen Plasma, and PRBCs) under transfusion protocol.</w:t>
      </w:r>
    </w:p>
    <w:p xmlns:wp14="http://schemas.microsoft.com/office/word/2010/wordml" w:rsidP="5E54F803" wp14:paraId="533A5A5C" wp14:textId="46111863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Glycemic and electrolyte control; strict intake-output charting.</w:t>
      </w:r>
    </w:p>
    <w:p xmlns:wp14="http://schemas.microsoft.com/office/word/2010/wordml" wp14:paraId="732D1B17" wp14:textId="1E6F7421"/>
    <w:p xmlns:wp14="http://schemas.microsoft.com/office/word/2010/wordml" w:rsidP="5E54F803" wp14:paraId="799DCA4F" wp14:textId="1594387B">
      <w:pPr>
        <w:pStyle w:val="Heading3"/>
        <w:spacing w:before="281" w:beforeAutospacing="off" w:after="281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WHEN TO SEEK IMMEDIATE EMERGENCY ATTENTION (RED FLAGS)</w:t>
      </w:r>
    </w:p>
    <w:p xmlns:wp14="http://schemas.microsoft.com/office/word/2010/wordml" w:rsidP="5E54F803" wp14:paraId="3B0BCA08" wp14:textId="61A327B2">
      <w:pPr>
        <w:spacing w:before="240" w:beforeAutospacing="off" w:after="240" w:afterAutospacing="off"/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If any transit delay occurs or while seeking another emergency admission, immediate ALS resuscitation must be provided if any of the following occur:</w:t>
      </w:r>
    </w:p>
    <w:p xmlns:wp14="http://schemas.microsoft.com/office/word/2010/wordml" w:rsidP="5E54F803" wp14:paraId="0B54AD90" wp14:textId="56CF9AF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Sudden extubation, cyanosis, severe drop in oxygen saturation (&lt; 90%)</w:t>
      </w:r>
    </w:p>
    <w:p xmlns:wp14="http://schemas.microsoft.com/office/word/2010/wordml" w:rsidP="5E54F803" wp14:paraId="28B87195" wp14:textId="6A487FA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Cessation of breathing or gasping respirations</w:t>
      </w:r>
    </w:p>
    <w:p xmlns:wp14="http://schemas.microsoft.com/office/word/2010/wordml" w:rsidP="5E54F803" wp14:paraId="0D954F90" wp14:textId="08C7BF6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Sudden hypotension or unrecordable blood pressure / cardiac arrest</w:t>
      </w:r>
    </w:p>
    <w:p xmlns:wp14="http://schemas.microsoft.com/office/word/2010/wordml" w:rsidP="5E54F803" wp14:paraId="4AB2571D" wp14:textId="2F922A5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Massive bleeding from the mouth, endotracheal tube, ICD site, or gastrointestinal tract</w:t>
      </w:r>
    </w:p>
    <w:p xmlns:wp14="http://schemas.microsoft.com/office/word/2010/wordml" w:rsidP="5E54F803" wp14:paraId="4CEA9D6E" wp14:textId="60AA4A7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Sudden chest tube displacement, massive bleeding into the ICD bottle, or subcutaneous emphysema</w:t>
      </w:r>
    </w:p>
    <w:p xmlns:wp14="http://schemas.microsoft.com/office/word/2010/wordml" w:rsidP="5E54F803" wp14:paraId="3CB0E8EF" wp14:textId="488DB79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>Seizures, non-reactive pupils, or profound loss of consciousness</w:t>
      </w:r>
    </w:p>
    <w:p xmlns:wp14="http://schemas.microsoft.com/office/word/2010/wordml" wp14:paraId="3911F6AA" wp14:textId="1F53202D"/>
    <w:p xmlns:wp14="http://schemas.microsoft.com/office/word/2010/wordml" w:rsidP="5E54F803" wp14:paraId="0958CEFC" wp14:textId="0D8C0217">
      <w:pPr>
        <w:spacing w:before="240" w:beforeAutospacing="off" w:after="240" w:afterAutospacing="off"/>
      </w:pPr>
      <w:r w:rsidRPr="5E54F803" w:rsidR="722EE1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Treating Consultant / Registrar:</w:t>
      </w:r>
    </w:p>
    <w:p xmlns:wp14="http://schemas.microsoft.com/office/word/2010/wordml" w:rsidP="5E54F803" wp14:paraId="482B4FB3" wp14:textId="1F88E6F1">
      <w:pPr>
        <w:spacing w:before="240" w:beforeAutospacing="off" w:after="240" w:afterAutospacing="off"/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Dr. G. Koushik / Critical Care Medicine Team</w:t>
      </w:r>
    </w:p>
    <w:p xmlns:wp14="http://schemas.microsoft.com/office/word/2010/wordml" w:rsidP="5E54F803" wp14:paraId="3A6D5E3A" wp14:textId="13912F16">
      <w:pPr>
        <w:spacing w:before="240" w:beforeAutospacing="off" w:after="240" w:afterAutospacing="off"/>
      </w:pPr>
      <w:r w:rsidRPr="5E54F803" w:rsidR="722EE1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Kamineni Hospitals</w:t>
      </w:r>
    </w:p>
    <w:p xmlns:wp14="http://schemas.microsoft.com/office/word/2010/wordml" wp14:paraId="2C078E63" wp14:textId="0FA49BD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4d92e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7e6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1e7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8249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3c6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ddc9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714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efd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268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709a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3121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222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F4E871"/>
    <w:rsid w:val="40F4E871"/>
    <w:rsid w:val="5E54F803"/>
    <w:rsid w:val="722EE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34570"/>
  <w15:chartTrackingRefBased/>
  <w15:docId w15:val="{0A5940AF-F197-446A-8CFB-D75B68CC11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54F8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E54F80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E54F80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E54F80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1ccd62f167f47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2026-09-05T07:36:41.9652073Z</dcterms:created>
  <dcterms:modified xsi:type="dcterms:W3CDTF">2026-09-05T07:37:18.7678276Z</dcterms:modified>
  <dc:creator>Bhargavi Reddy</dc:creator>
  <lastModifiedBy>Bhargavi Reddy</lastModifiedBy>
</coreProperties>
</file>