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FF441F"/>
          <w:spacing w:val="60"/>
          <w:sz w:val="18"/>
          <w:szCs w:val="18"/>
        </w:rPr>
        <w:t xml:space="preserve">MEMBRESÍAS Y FORMAS DE COBRO · 2026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22201D"/>
          <w:sz w:val="52"/>
          <w:szCs w:val="52"/>
        </w:rPr>
        <w:t xml:space="preserve">Cómo cobra TuraFood</w:t>
      </w:r>
    </w:p>
    <w:p>
      <w:pPr>
        <w:pBdr>
          <w:bottom w:val="single" w:color="FF441F" w:sz="12" w:space="6"/>
        </w:pBdr>
        <w:spacing w:after="60"/>
      </w:pPr>
      <w:r>
        <w:rPr>
          <w:sz w:val="2"/>
          <w:szCs w:val="2"/>
        </w:rPr>
        <w:t xml:space="preserve"/>
      </w:r>
    </w:p>
    <w:p>
      <w:pPr>
        <w:spacing w:after="300" w:line="300"/>
        <w:jc w:val="left"/>
      </w:pPr>
      <w:r>
        <w:rPr>
          <w:rFonts w:ascii="Calibri" w:cs="Calibri" w:eastAsia="Calibri" w:hAnsi="Calibri"/>
          <w:color w:val="6E665D"/>
          <w:sz w:val="23"/>
          <w:szCs w:val="23"/>
        </w:rPr>
        <w:t xml:space="preserve">Tres planes, y por qué la app siempre es gratis.</w:t>
      </w:r>
    </w:p>
    <w:tbl>
      <w:tblPr>
        <w:tblW w:type="dxa" w:w="9792"/>
        <w:tblBorders>
          <w:top w:val="single" w:color="FF441F" w:sz="2"/>
          <w:left w:val="single" w:color="FF441F" w:sz="18"/>
          <w:bottom w:val="single" w:color="FF441F" w:sz="2"/>
          <w:right w:val="single" w:color="FF441F" w:sz="2"/>
          <w:insideH w:val="none"/>
          <w:insideV w:val="none"/>
        </w:tblBorders>
      </w:tblPr>
      <w:tblGrid>
        <w:gridCol w:w="9792"/>
      </w:tblGrid>
      <w:tr>
        <w:tc>
          <w:tcPr>
            <w:tcW w:type="dxa" w:w="9792"/>
            <w:shd w:fill="FBF8F5" w:color="auto" w:val="clear"/>
            <w:tcMar>
              <w:top w:type="dxa" w:w="140"/>
              <w:left w:type="dxa" w:w="180"/>
              <w:bottom w:type="dxa" w:w="140"/>
              <w:right w:type="dxa" w:w="16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E2360F"/>
                <w:sz w:val="21"/>
                <w:szCs w:val="21"/>
              </w:rPr>
              <w:t xml:space="preserve">La regla que no cambia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2B2724"/>
                <w:sz w:val="20"/>
                <w:szCs w:val="20"/>
              </w:rPr>
              <w:t xml:space="preserve">TuraFood nunca cobra comisión por pedido. Ni al negocio, ni al repartidor, ni al cliente. Lo que se vende es del negocio y llega directo a su cuenta. Los planes son para crecer, no para vender.</w:t>
            </w:r>
          </w:p>
        </w:tc>
      </w:tr>
    </w:tbl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22201D"/>
          <w:sz w:val="34"/>
          <w:szCs w:val="34"/>
        </w:rPr>
        <w:t xml:space="preserve">1. Los tres planes</w:t>
      </w:r>
    </w:p>
    <w:tbl>
      <w:tblPr>
        <w:tblW w:type="dxa" w:w="9792"/>
        <w:tblBorders>
          <w:top w:val="single" w:color="E4DFD8" w:sz="2"/>
          <w:left w:val="single" w:color="E4DFD8" w:sz="2"/>
          <w:bottom w:val="single" w:color="E4DFD8" w:sz="2"/>
          <w:right w:val="single" w:color="E4DFD8" w:sz="2"/>
          <w:insideH w:val="single" w:color="E4DFD8" w:sz="2"/>
          <w:insideV w:val="single" w:color="E4DFD8" w:sz="2"/>
        </w:tblBorders>
      </w:tblPr>
      <w:tblGrid>
        <w:gridCol w:w="2917"/>
        <w:gridCol w:w="2083"/>
        <w:gridCol w:w="2292"/>
        <w:gridCol w:w="2500"/>
      </w:tblGrid>
      <w:tr>
        <w:trPr>
          <w:tblHeader/>
        </w:trPr>
        <w:tc>
          <w:tcPr>
            <w:tcW w:type="dxa" w:w="2917"/>
            <w:shd w:fill="22201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2083"/>
            <w:shd w:fill="22201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Starter</w:t>
            </w:r>
          </w:p>
        </w:tc>
        <w:tc>
          <w:tcPr>
            <w:tcW w:type="dxa" w:w="2292"/>
            <w:shd w:fill="22201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Tura Food</w:t>
            </w:r>
          </w:p>
        </w:tc>
        <w:tc>
          <w:tcPr>
            <w:tcW w:type="dxa" w:w="2500"/>
            <w:shd w:fill="22201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Tura Growth</w:t>
            </w:r>
          </w:p>
        </w:tc>
      </w:tr>
      <w:tr>
        <w:tc>
          <w:tcPr>
            <w:tcW w:type="dxa" w:w="2917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Precio mensual</w:t>
            </w:r>
          </w:p>
        </w:tc>
        <w:tc>
          <w:tcPr>
            <w:tcW w:type="dxa" w:w="2083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Gratis</w:t>
            </w:r>
          </w:p>
        </w:tc>
        <w:tc>
          <w:tcPr>
            <w:tcW w:type="dxa" w:w="2292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$89.000</w:t>
            </w:r>
          </w:p>
        </w:tc>
        <w:tc>
          <w:tcPr>
            <w:tcW w:type="dxa" w:w="25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$289.000</w:t>
            </w:r>
          </w:p>
        </w:tc>
      </w:tr>
      <w:tr>
        <w:tc>
          <w:tcPr>
            <w:tcW w:type="dxa" w:w="2917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Precio anual</w:t>
            </w:r>
          </w:p>
        </w:tc>
        <w:tc>
          <w:tcPr>
            <w:tcW w:type="dxa" w:w="2083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Gratis</w:t>
            </w:r>
          </w:p>
        </w:tc>
        <w:tc>
          <w:tcPr>
            <w:tcW w:type="dxa" w:w="2292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$489.000</w:t>
            </w:r>
          </w:p>
        </w:tc>
        <w:tc>
          <w:tcPr>
            <w:tcW w:type="dxa" w:w="2500"/>
            <w:shd w:fill="E6F6E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$890.000</w:t>
            </w:r>
          </w:p>
        </w:tc>
      </w:tr>
      <w:tr>
        <w:tc>
          <w:tcPr>
            <w:tcW w:type="dxa" w:w="2917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Equivale al mes</w:t>
            </w:r>
          </w:p>
        </w:tc>
        <w:tc>
          <w:tcPr>
            <w:tcW w:type="dxa" w:w="2083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—</w:t>
            </w:r>
          </w:p>
        </w:tc>
        <w:tc>
          <w:tcPr>
            <w:tcW w:type="dxa" w:w="2292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$40.750 /mes</w:t>
            </w:r>
          </w:p>
        </w:tc>
        <w:tc>
          <w:tcPr>
            <w:tcW w:type="dxa" w:w="2500"/>
            <w:shd w:fill="E6F6E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$74.167 /mes</w:t>
            </w:r>
          </w:p>
        </w:tc>
      </w:tr>
      <w:tr>
        <w:tc>
          <w:tcPr>
            <w:tcW w:type="dxa" w:w="2917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Ahorro del anual</w:t>
            </w:r>
          </w:p>
        </w:tc>
        <w:tc>
          <w:tcPr>
            <w:tcW w:type="dxa" w:w="2083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—</w:t>
            </w:r>
          </w:p>
        </w:tc>
        <w:tc>
          <w:tcPr>
            <w:tcW w:type="dxa" w:w="2292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54%</w:t>
            </w:r>
          </w:p>
        </w:tc>
        <w:tc>
          <w:tcPr>
            <w:tcW w:type="dxa" w:w="2500"/>
            <w:shd w:fill="E6F6E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74%</w:t>
            </w:r>
          </w:p>
        </w:tc>
      </w:tr>
      <w:tr>
        <w:tc>
          <w:tcPr>
            <w:tcW w:type="dxa" w:w="2917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Para quién</w:t>
            </w:r>
          </w:p>
        </w:tc>
        <w:tc>
          <w:tcPr>
            <w:tcW w:type="dxa" w:w="2083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El que arranca</w:t>
            </w:r>
          </w:p>
        </w:tc>
        <w:tc>
          <w:tcPr>
            <w:tcW w:type="dxa" w:w="2292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El que ya vende</w:t>
            </w:r>
          </w:p>
        </w:tc>
        <w:tc>
          <w:tcPr>
            <w:tcW w:type="dxa" w:w="25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El que quiere crecer</w:t>
            </w:r>
          </w:p>
        </w:tc>
      </w:tr>
    </w:tbl>
    <w:p>
      <w:pPr>
        <w:pStyle w:val="Heading2"/>
        <w:spacing w:after="110" w:before="280"/>
      </w:pPr>
      <w:r>
        <w:rPr>
          <w:rFonts w:ascii="Calibri" w:cs="Calibri" w:eastAsia="Calibri" w:hAnsi="Calibri"/>
          <w:b/>
          <w:bCs/>
          <w:color w:val="E2360F"/>
          <w:sz w:val="26"/>
          <w:szCs w:val="26"/>
        </w:rPr>
        <w:t xml:space="preserve">Qué trae cada uno</w:t>
      </w:r>
    </w:p>
    <w:tbl>
      <w:tblPr>
        <w:tblW w:type="dxa" w:w="9792"/>
        <w:tblBorders>
          <w:top w:val="single" w:color="E4DFD8" w:sz="2"/>
          <w:left w:val="single" w:color="E4DFD8" w:sz="2"/>
          <w:bottom w:val="single" w:color="E4DFD8" w:sz="2"/>
          <w:right w:val="single" w:color="E4DFD8" w:sz="2"/>
          <w:insideH w:val="single" w:color="E4DFD8" w:sz="2"/>
          <w:insideV w:val="single" w:color="E4DFD8" w:sz="2"/>
        </w:tblBorders>
      </w:tblPr>
      <w:tblGrid>
        <w:gridCol w:w="4052"/>
        <w:gridCol w:w="1688"/>
        <w:gridCol w:w="1857"/>
        <w:gridCol w:w="2195"/>
      </w:tblGrid>
      <w:tr>
        <w:trPr>
          <w:tblHeader/>
        </w:trPr>
        <w:tc>
          <w:tcPr>
            <w:tcW w:type="dxa" w:w="4052"/>
            <w:shd w:fill="22201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Incluye</w:t>
            </w:r>
          </w:p>
        </w:tc>
        <w:tc>
          <w:tcPr>
            <w:tcW w:type="dxa" w:w="1688"/>
            <w:shd w:fill="22201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Starter</w:t>
            </w:r>
          </w:p>
        </w:tc>
        <w:tc>
          <w:tcPr>
            <w:tcW w:type="dxa" w:w="1857"/>
            <w:shd w:fill="22201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Tura Food</w:t>
            </w:r>
          </w:p>
        </w:tc>
        <w:tc>
          <w:tcPr>
            <w:tcW w:type="dxa" w:w="2195"/>
            <w:shd w:fill="22201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Tura Growth</w:t>
            </w:r>
          </w:p>
        </w:tc>
      </w:tr>
      <w:tr>
        <w:tc>
          <w:tcPr>
            <w:tcW w:type="dxa" w:w="4052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Tienda en turafood.com</w:t>
            </w:r>
          </w:p>
        </w:tc>
        <w:tc>
          <w:tcPr>
            <w:tcW w:type="dxa" w:w="1688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Sí</w:t>
            </w:r>
          </w:p>
        </w:tc>
        <w:tc>
          <w:tcPr>
            <w:tcW w:type="dxa" w:w="1857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Sí</w:t>
            </w:r>
          </w:p>
        </w:tc>
        <w:tc>
          <w:tcPr>
            <w:tcW w:type="dxa" w:w="2195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4052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Menú digital</w:t>
            </w:r>
          </w:p>
        </w:tc>
        <w:tc>
          <w:tcPr>
            <w:tcW w:type="dxa" w:w="1688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Hasta 20 productos</w:t>
            </w:r>
          </w:p>
        </w:tc>
        <w:tc>
          <w:tcPr>
            <w:tcW w:type="dxa" w:w="1857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Sin límite</w:t>
            </w:r>
          </w:p>
        </w:tc>
        <w:tc>
          <w:tcPr>
            <w:tcW w:type="dxa" w:w="2195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Sin límite + QR</w:t>
            </w:r>
          </w:p>
        </w:tc>
      </w:tr>
      <w:tr>
        <w:tc>
          <w:tcPr>
            <w:tcW w:type="dxa" w:w="4052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Tablero de comandas</w:t>
            </w:r>
          </w:p>
        </w:tc>
        <w:tc>
          <w:tcPr>
            <w:tcW w:type="dxa" w:w="1688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Sí</w:t>
            </w:r>
          </w:p>
        </w:tc>
        <w:tc>
          <w:tcPr>
            <w:tcW w:type="dxa" w:w="1857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Sí</w:t>
            </w:r>
          </w:p>
        </w:tc>
        <w:tc>
          <w:tcPr>
            <w:tcW w:type="dxa" w:w="2195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4052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Repartidores del puerto</w:t>
            </w:r>
          </w:p>
        </w:tc>
        <w:tc>
          <w:tcPr>
            <w:tcW w:type="dxa" w:w="1688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Sí</w:t>
            </w:r>
          </w:p>
        </w:tc>
        <w:tc>
          <w:tcPr>
            <w:tcW w:type="dxa" w:w="1857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Sí</w:t>
            </w:r>
          </w:p>
        </w:tc>
        <w:tc>
          <w:tcPr>
            <w:tcW w:type="dxa" w:w="2195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4052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Cobra como quiera</w:t>
            </w:r>
          </w:p>
        </w:tc>
        <w:tc>
          <w:tcPr>
            <w:tcW w:type="dxa" w:w="1688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Sí</w:t>
            </w:r>
          </w:p>
        </w:tc>
        <w:tc>
          <w:tcPr>
            <w:tcW w:type="dxa" w:w="1857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Sí</w:t>
            </w:r>
          </w:p>
        </w:tc>
        <w:tc>
          <w:tcPr>
            <w:tcW w:type="dxa" w:w="2195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4052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Reportes y métricas</w:t>
            </w:r>
          </w:p>
        </w:tc>
        <w:tc>
          <w:tcPr>
            <w:tcW w:type="dxa" w:w="1688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Sí</w:t>
            </w:r>
          </w:p>
        </w:tc>
        <w:tc>
          <w:tcPr>
            <w:tcW w:type="dxa" w:w="1857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Sí</w:t>
            </w:r>
          </w:p>
        </w:tc>
        <w:tc>
          <w:tcPr>
            <w:tcW w:type="dxa" w:w="2195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Sí + por producto</w:t>
            </w:r>
          </w:p>
        </w:tc>
      </w:tr>
      <w:tr>
        <w:tc>
          <w:tcPr>
            <w:tcW w:type="dxa" w:w="4052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Sitio web con dominio propio</w:t>
            </w:r>
          </w:p>
        </w:tc>
        <w:tc>
          <w:tcPr>
            <w:tcW w:type="dxa" w:w="1688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—</w:t>
            </w:r>
          </w:p>
        </w:tc>
        <w:tc>
          <w:tcPr>
            <w:tcW w:type="dxa" w:w="1857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Sí</w:t>
            </w:r>
          </w:p>
        </w:tc>
        <w:tc>
          <w:tcPr>
            <w:tcW w:type="dxa" w:w="2195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4052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Hosting y correo corporativo</w:t>
            </w:r>
          </w:p>
        </w:tc>
        <w:tc>
          <w:tcPr>
            <w:tcW w:type="dxa" w:w="1688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—</w:t>
            </w:r>
          </w:p>
        </w:tc>
        <w:tc>
          <w:tcPr>
            <w:tcW w:type="dxa" w:w="1857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Sí</w:t>
            </w:r>
          </w:p>
        </w:tc>
        <w:tc>
          <w:tcPr>
            <w:tcW w:type="dxa" w:w="2195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4052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Ficha de Google verificada</w:t>
            </w:r>
          </w:p>
        </w:tc>
        <w:tc>
          <w:tcPr>
            <w:tcW w:type="dxa" w:w="1688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—</w:t>
            </w:r>
          </w:p>
        </w:tc>
        <w:tc>
          <w:tcPr>
            <w:tcW w:type="dxa" w:w="1857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Sí</w:t>
            </w:r>
          </w:p>
        </w:tc>
        <w:tc>
          <w:tcPr>
            <w:tcW w:type="dxa" w:w="2195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4052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Blog SEO</w:t>
            </w:r>
          </w:p>
        </w:tc>
        <w:tc>
          <w:tcPr>
            <w:tcW w:type="dxa" w:w="1688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—</w:t>
            </w:r>
          </w:p>
        </w:tc>
        <w:tc>
          <w:tcPr>
            <w:tcW w:type="dxa" w:w="1857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Sí</w:t>
            </w:r>
          </w:p>
        </w:tc>
        <w:tc>
          <w:tcPr>
            <w:tcW w:type="dxa" w:w="2195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4052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Agente de voz IA 24/7</w:t>
            </w:r>
          </w:p>
        </w:tc>
        <w:tc>
          <w:tcPr>
            <w:tcW w:type="dxa" w:w="1688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—</w:t>
            </w:r>
          </w:p>
        </w:tc>
        <w:tc>
          <w:tcPr>
            <w:tcW w:type="dxa" w:w="1857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—</w:t>
            </w:r>
          </w:p>
        </w:tc>
        <w:tc>
          <w:tcPr>
            <w:tcW w:type="dxa" w:w="2195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300 min /mes</w:t>
            </w:r>
          </w:p>
        </w:tc>
      </w:tr>
      <w:tr>
        <w:tc>
          <w:tcPr>
            <w:tcW w:type="dxa" w:w="4052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Reservas y agendamiento</w:t>
            </w:r>
          </w:p>
        </w:tc>
        <w:tc>
          <w:tcPr>
            <w:tcW w:type="dxa" w:w="1688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—</w:t>
            </w:r>
          </w:p>
        </w:tc>
        <w:tc>
          <w:tcPr>
            <w:tcW w:type="dxa" w:w="1857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—</w:t>
            </w:r>
          </w:p>
        </w:tc>
        <w:tc>
          <w:tcPr>
            <w:tcW w:type="dxa" w:w="2195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4052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WhatsApp Business automatizado</w:t>
            </w:r>
          </w:p>
        </w:tc>
        <w:tc>
          <w:tcPr>
            <w:tcW w:type="dxa" w:w="1688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—</w:t>
            </w:r>
          </w:p>
        </w:tc>
        <w:tc>
          <w:tcPr>
            <w:tcW w:type="dxa" w:w="1857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—</w:t>
            </w:r>
          </w:p>
        </w:tc>
        <w:tc>
          <w:tcPr>
            <w:tcW w:type="dxa" w:w="2195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4052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CRM, fidelización y cupones</w:t>
            </w:r>
          </w:p>
        </w:tc>
        <w:tc>
          <w:tcPr>
            <w:tcW w:type="dxa" w:w="1688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—</w:t>
            </w:r>
          </w:p>
        </w:tc>
        <w:tc>
          <w:tcPr>
            <w:tcW w:type="dxa" w:w="1857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—</w:t>
            </w:r>
          </w:p>
        </w:tc>
        <w:tc>
          <w:tcPr>
            <w:tcW w:type="dxa" w:w="2195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4052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Correos automáticos</w:t>
            </w:r>
          </w:p>
        </w:tc>
        <w:tc>
          <w:tcPr>
            <w:tcW w:type="dxa" w:w="1688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—</w:t>
            </w:r>
          </w:p>
        </w:tc>
        <w:tc>
          <w:tcPr>
            <w:tcW w:type="dxa" w:w="1857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—</w:t>
            </w:r>
          </w:p>
        </w:tc>
        <w:tc>
          <w:tcPr>
            <w:tcW w:type="dxa" w:w="2195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4052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Campañas en Google Ads y Meta</w:t>
            </w:r>
          </w:p>
        </w:tc>
        <w:tc>
          <w:tcPr>
            <w:tcW w:type="dxa" w:w="1688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—</w:t>
            </w:r>
          </w:p>
        </w:tc>
        <w:tc>
          <w:tcPr>
            <w:tcW w:type="dxa" w:w="1857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—</w:t>
            </w:r>
          </w:p>
        </w:tc>
        <w:tc>
          <w:tcPr>
            <w:tcW w:type="dxa" w:w="2195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4052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Espacios destacados en la app</w:t>
            </w:r>
          </w:p>
        </w:tc>
        <w:tc>
          <w:tcPr>
            <w:tcW w:type="dxa" w:w="1688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—</w:t>
            </w:r>
          </w:p>
        </w:tc>
        <w:tc>
          <w:tcPr>
            <w:tcW w:type="dxa" w:w="1857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—</w:t>
            </w:r>
          </w:p>
        </w:tc>
        <w:tc>
          <w:tcPr>
            <w:tcW w:type="dxa" w:w="2195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4052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Acompañamiento del equipo</w:t>
            </w:r>
          </w:p>
        </w:tc>
        <w:tc>
          <w:tcPr>
            <w:tcW w:type="dxa" w:w="1688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—</w:t>
            </w:r>
          </w:p>
        </w:tc>
        <w:tc>
          <w:tcPr>
            <w:tcW w:type="dxa" w:w="1857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Soporte</w:t>
            </w:r>
          </w:p>
        </w:tc>
        <w:tc>
          <w:tcPr>
            <w:tcW w:type="dxa" w:w="2195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Dedicado</w:t>
            </w:r>
          </w:p>
        </w:tc>
      </w:tr>
    </w:tbl>
    <w:p>
      <w:r>
        <w:br w:type="page"/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22201D"/>
          <w:sz w:val="34"/>
          <w:szCs w:val="34"/>
        </w:rPr>
        <w:t xml:space="preserve">2. Por qué el anual gana solo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color w:val="2B2724"/>
          <w:sz w:val="21"/>
          <w:szCs w:val="21"/>
        </w:rPr>
        <w:t xml:space="preserve">El argumento no es el descuento en porcentaje: es lo que pasa cuando alguien paga mes a mes durante un año.</w:t>
      </w:r>
    </w:p>
    <w:tbl>
      <w:tblPr>
        <w:tblW w:type="dxa" w:w="9792"/>
        <w:tblBorders>
          <w:top w:val="single" w:color="E4DFD8" w:sz="2"/>
          <w:left w:val="single" w:color="E4DFD8" w:sz="2"/>
          <w:bottom w:val="single" w:color="E4DFD8" w:sz="2"/>
          <w:right w:val="single" w:color="E4DFD8" w:sz="2"/>
          <w:insideH w:val="single" w:color="E4DFD8" w:sz="2"/>
          <w:insideV w:val="single" w:color="E4DFD8" w:sz="2"/>
        </w:tblBorders>
      </w:tblPr>
      <w:tblGrid>
        <w:gridCol w:w="3264"/>
        <w:gridCol w:w="3730"/>
        <w:gridCol w:w="2798"/>
      </w:tblGrid>
      <w:tr>
        <w:trPr>
          <w:tblHeader/>
        </w:trPr>
        <w:tc>
          <w:tcPr>
            <w:tcW w:type="dxa" w:w="3264"/>
            <w:shd w:fill="22201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Tura Growth</w:t>
            </w:r>
          </w:p>
        </w:tc>
        <w:tc>
          <w:tcPr>
            <w:tcW w:type="dxa" w:w="3730"/>
            <w:shd w:fill="22201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Cuánto paga</w:t>
            </w:r>
          </w:p>
        </w:tc>
        <w:tc>
          <w:tcPr>
            <w:tcW w:type="dxa" w:w="2798"/>
            <w:shd w:fill="22201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 un año</w:t>
            </w:r>
          </w:p>
        </w:tc>
      </w:tr>
      <w:tr>
        <w:tc>
          <w:tcPr>
            <w:tcW w:type="dxa" w:w="3264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Mes a mes</w:t>
            </w:r>
          </w:p>
        </w:tc>
        <w:tc>
          <w:tcPr>
            <w:tcW w:type="dxa" w:w="373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$289.000 cada mes</w:t>
            </w:r>
          </w:p>
        </w:tc>
        <w:tc>
          <w:tcPr>
            <w:tcW w:type="dxa" w:w="2798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$3.468.000</w:t>
            </w:r>
          </w:p>
        </w:tc>
      </w:tr>
      <w:tr>
        <w:tc>
          <w:tcPr>
            <w:tcW w:type="dxa" w:w="3264"/>
            <w:shd w:fill="E6F6E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El año de una</w:t>
            </w:r>
          </w:p>
        </w:tc>
        <w:tc>
          <w:tcPr>
            <w:tcW w:type="dxa" w:w="3730"/>
            <w:shd w:fill="E6F6E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1 solo pago</w:t>
            </w:r>
          </w:p>
        </w:tc>
        <w:tc>
          <w:tcPr>
            <w:tcW w:type="dxa" w:w="2798"/>
            <w:shd w:fill="E6F6E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$890.000</w:t>
            </w:r>
          </w:p>
        </w:tc>
      </w:tr>
      <w:tr>
        <w:tc>
          <w:tcPr>
            <w:tcW w:type="dxa" w:w="3264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Diferencia</w:t>
            </w:r>
          </w:p>
        </w:tc>
        <w:tc>
          <w:tcPr>
            <w:tcW w:type="dxa" w:w="373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/>
            </w:r>
          </w:p>
        </w:tc>
        <w:tc>
          <w:tcPr>
            <w:tcW w:type="dxa" w:w="2798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$2.578.000</w:t>
            </w:r>
          </w:p>
        </w:tc>
      </w:tr>
    </w:tbl>
    <w:p>
      <w:pPr>
        <w:spacing w:after="120" w:line="300"/>
      </w:pPr>
      <w:r>
        <w:rPr>
          <w:rFonts w:ascii="Calibri" w:cs="Calibri" w:eastAsia="Calibri" w:hAnsi="Calibri"/>
          <w:b w:val="false"/>
          <w:bCs w:val="false"/>
          <w:color w:val="2B2724"/>
          <w:sz w:val="21"/>
          <w:szCs w:val="21"/>
        </w:rPr>
        <w:t xml:space="preserve">Son </w:t>
      </w:r>
      <w:r>
        <w:rPr>
          <w:rFonts w:ascii="Calibri" w:cs="Calibri" w:eastAsia="Calibri" w:hAnsi="Calibri"/>
          <w:b/>
          <w:bCs/>
          <w:color w:val="2B2724"/>
          <w:sz w:val="21"/>
          <w:szCs w:val="21"/>
        </w:rPr>
        <w:t xml:space="preserve">$2.578.000</w:t>
      </w:r>
      <w:r>
        <w:rPr>
          <w:rFonts w:ascii="Calibri" w:cs="Calibri" w:eastAsia="Calibri" w:hAnsi="Calibri"/>
          <w:b w:val="false"/>
          <w:bCs w:val="false"/>
          <w:color w:val="2B2724"/>
          <w:sz w:val="21"/>
          <w:szCs w:val="21"/>
        </w:rPr>
        <w:t xml:space="preserve"> por exactamente la misma tecnología. Por eso en la app y en el sitio ese número se muestra en pesos y no como "−</w:t>
      </w:r>
      <w:r>
        <w:rPr>
          <w:rFonts w:ascii="Calibri" w:cs="Calibri" w:eastAsia="Calibri" w:hAnsi="Calibri"/>
          <w:b/>
          <w:bCs/>
          <w:color w:val="2B2724"/>
          <w:sz w:val="21"/>
          <w:szCs w:val="21"/>
        </w:rPr>
        <w:t xml:space="preserve">74%</w:t>
      </w:r>
      <w:r>
        <w:rPr>
          <w:rFonts w:ascii="Calibri" w:cs="Calibri" w:eastAsia="Calibri" w:hAnsi="Calibri"/>
          <w:b w:val="false"/>
          <w:bCs w:val="false"/>
          <w:color w:val="2B2724"/>
          <w:sz w:val="21"/>
          <w:szCs w:val="21"/>
        </w:rPr>
        <w:t xml:space="preserve">": un porcentaje se lee y se olvida; una cifra que la persona puede imaginar en su bolsillo se queda.</w:t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22201D"/>
          <w:sz w:val="34"/>
          <w:szCs w:val="34"/>
        </w:rPr>
        <w:t xml:space="preserve">3. Cómo paga cada quien</w:t>
      </w:r>
    </w:p>
    <w:p>
      <w:pPr>
        <w:pStyle w:val="Heading2"/>
        <w:spacing w:after="110" w:before="280"/>
      </w:pPr>
      <w:r>
        <w:rPr>
          <w:rFonts w:ascii="Calibri" w:cs="Calibri" w:eastAsia="Calibri" w:hAnsi="Calibri"/>
          <w:b/>
          <w:bCs/>
          <w:color w:val="E2360F"/>
          <w:sz w:val="26"/>
          <w:szCs w:val="26"/>
        </w:rPr>
        <w:t xml:space="preserve">El cliente que pide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color w:val="2B2724"/>
          <w:sz w:val="21"/>
          <w:szCs w:val="21"/>
        </w:rPr>
        <w:t xml:space="preserve">Le paga al negocio, no a TuraFood. El negocio decide qué medios acepta y el checkout solo le muestra esos.</w:t>
      </w:r>
    </w:p>
    <w:tbl>
      <w:tblPr>
        <w:tblW w:type="dxa" w:w="9792"/>
        <w:tblBorders>
          <w:top w:val="single" w:color="E4DFD8" w:sz="2"/>
          <w:left w:val="single" w:color="E4DFD8" w:sz="2"/>
          <w:bottom w:val="single" w:color="E4DFD8" w:sz="2"/>
          <w:right w:val="single" w:color="E4DFD8" w:sz="2"/>
          <w:insideH w:val="single" w:color="E4DFD8" w:sz="2"/>
          <w:insideV w:val="single" w:color="E4DFD8" w:sz="2"/>
        </w:tblBorders>
      </w:tblPr>
      <w:tblGrid>
        <w:gridCol w:w="2554"/>
        <w:gridCol w:w="5109"/>
        <w:gridCol w:w="2129"/>
      </w:tblGrid>
      <w:tr>
        <w:trPr>
          <w:tblHeader/>
        </w:trPr>
        <w:tc>
          <w:tcPr>
            <w:tcW w:type="dxa" w:w="2554"/>
            <w:shd w:fill="22201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Medio</w:t>
            </w:r>
          </w:p>
        </w:tc>
        <w:tc>
          <w:tcPr>
            <w:tcW w:type="dxa" w:w="5109"/>
            <w:shd w:fill="22201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Cómo funciona</w:t>
            </w:r>
          </w:p>
        </w:tc>
        <w:tc>
          <w:tcPr>
            <w:tcW w:type="dxa" w:w="2129"/>
            <w:shd w:fill="22201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Quién recibe</w:t>
            </w:r>
          </w:p>
        </w:tc>
      </w:tr>
      <w:tr>
        <w:tc>
          <w:tcPr>
            <w:tcW w:type="dxa" w:w="2554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Efectivo</w:t>
            </w:r>
          </w:p>
        </w:tc>
        <w:tc>
          <w:tcPr>
            <w:tcW w:type="dxa" w:w="5109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Paga al recibir el pedido</w:t>
            </w:r>
          </w:p>
        </w:tc>
        <w:tc>
          <w:tcPr>
            <w:tcW w:type="dxa" w:w="2129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El negocio</w:t>
            </w:r>
          </w:p>
        </w:tc>
      </w:tr>
      <w:tr>
        <w:tc>
          <w:tcPr>
            <w:tcW w:type="dxa" w:w="2554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Nequi</w:t>
            </w:r>
          </w:p>
        </w:tc>
        <w:tc>
          <w:tcPr>
            <w:tcW w:type="dxa" w:w="5109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Transfiere al número que el negocio configuró</w:t>
            </w:r>
          </w:p>
        </w:tc>
        <w:tc>
          <w:tcPr>
            <w:tcW w:type="dxa" w:w="2129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El negocio</w:t>
            </w:r>
          </w:p>
        </w:tc>
      </w:tr>
      <w:tr>
        <w:tc>
          <w:tcPr>
            <w:tcW w:type="dxa" w:w="2554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Daviplata</w:t>
            </w:r>
          </w:p>
        </w:tc>
        <w:tc>
          <w:tcPr>
            <w:tcW w:type="dxa" w:w="5109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Transfiere al número que el negocio configuró</w:t>
            </w:r>
          </w:p>
        </w:tc>
        <w:tc>
          <w:tcPr>
            <w:tcW w:type="dxa" w:w="2129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El negocio</w:t>
            </w:r>
          </w:p>
        </w:tc>
      </w:tr>
      <w:tr>
        <w:tc>
          <w:tcPr>
            <w:tcW w:type="dxa" w:w="2554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Tarjeta al recibir</w:t>
            </w:r>
          </w:p>
        </w:tc>
        <w:tc>
          <w:tcPr>
            <w:tcW w:type="dxa" w:w="5109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Datáfono en la puerta, si el negocio lo manda</w:t>
            </w:r>
          </w:p>
        </w:tc>
        <w:tc>
          <w:tcPr>
            <w:tcW w:type="dxa" w:w="2129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El negocio</w:t>
            </w:r>
          </w:p>
        </w:tc>
      </w:tr>
      <w:tr>
        <w:tc>
          <w:tcPr>
            <w:tcW w:type="dxa" w:w="2554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Por WhatsApp</w:t>
            </w:r>
          </w:p>
        </w:tc>
        <w:tc>
          <w:tcPr>
            <w:tcW w:type="dxa" w:w="5109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El pedido queda hecho y el pago se acuerda por chat</w:t>
            </w:r>
          </w:p>
        </w:tc>
        <w:tc>
          <w:tcPr>
            <w:tcW w:type="dxa" w:w="2129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El negocio</w:t>
            </w:r>
          </w:p>
        </w:tc>
      </w:tr>
    </w:tbl>
    <w:p>
      <w:pPr>
        <w:spacing w:after="160" w:line="300"/>
        <w:jc w:val="left"/>
      </w:pPr>
      <w:r>
        <w:rPr>
          <w:rFonts w:ascii="Calibri" w:cs="Calibri" w:eastAsia="Calibri" w:hAnsi="Calibri"/>
          <w:color w:val="2B2724"/>
          <w:sz w:val="21"/>
          <w:szCs w:val="21"/>
        </w:rPr>
        <w:t xml:space="preserve">La regla la hace cumplir el servidor, no la pantalla: si alguien arma la llamada a mano con un medio que el negocio no habilitó, el pedido se rechaza.</w:t>
      </w:r>
    </w:p>
    <w:p>
      <w:pPr>
        <w:pStyle w:val="Heading2"/>
        <w:spacing w:after="110" w:before="280"/>
      </w:pPr>
      <w:r>
        <w:rPr>
          <w:rFonts w:ascii="Calibri" w:cs="Calibri" w:eastAsia="Calibri" w:hAnsi="Calibri"/>
          <w:b/>
          <w:bCs/>
          <w:color w:val="E2360F"/>
          <w:sz w:val="26"/>
          <w:szCs w:val="26"/>
        </w:rPr>
        <w:t xml:space="preserve">El repartidor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color w:val="2B2724"/>
          <w:sz w:val="21"/>
          <w:szCs w:val="21"/>
        </w:rPr>
        <w:t xml:space="preserve">Gana el domicilio completo más la propina. TuraFood no retiene nada de eso.</w:t>
      </w:r>
    </w:p>
    <w:tbl>
      <w:tblPr>
        <w:tblW w:type="dxa" w:w="9792"/>
        <w:tblBorders>
          <w:top w:val="single" w:color="E4DFD8" w:sz="2"/>
          <w:left w:val="single" w:color="E4DFD8" w:sz="2"/>
          <w:bottom w:val="single" w:color="E4DFD8" w:sz="2"/>
          <w:right w:val="single" w:color="E4DFD8" w:sz="2"/>
          <w:insideH w:val="single" w:color="E4DFD8" w:sz="2"/>
          <w:insideV w:val="single" w:color="E4DFD8" w:sz="2"/>
        </w:tblBorders>
      </w:tblPr>
      <w:tblGrid>
        <w:gridCol w:w="3427"/>
        <w:gridCol w:w="6365"/>
      </w:tblGrid>
      <w:tr>
        <w:trPr>
          <w:tblHeader/>
        </w:trPr>
        <w:tc>
          <w:tcPr>
            <w:tcW w:type="dxa" w:w="3427"/>
            <w:shd w:fill="22201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Concepto</w:t>
            </w:r>
          </w:p>
        </w:tc>
        <w:tc>
          <w:tcPr>
            <w:tcW w:type="dxa" w:w="6365"/>
            <w:shd w:fill="22201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Cuánto</w:t>
            </w:r>
          </w:p>
        </w:tc>
      </w:tr>
      <w:tr>
        <w:tc>
          <w:tcPr>
            <w:tcW w:type="dxa" w:w="3427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Domicilio</w:t>
            </w:r>
          </w:p>
        </w:tc>
        <w:tc>
          <w:tcPr>
            <w:tcW w:type="dxa" w:w="6365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El que cobre el negocio (por defecto $3.900)</w:t>
            </w:r>
          </w:p>
        </w:tc>
      </w:tr>
      <w:tr>
        <w:tc>
          <w:tcPr>
            <w:tcW w:type="dxa" w:w="3427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Propina</w:t>
            </w:r>
          </w:p>
        </w:tc>
        <w:tc>
          <w:tcPr>
            <w:tcW w:type="dxa" w:w="6365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Toda, la que ponga el cliente</w:t>
            </w:r>
          </w:p>
        </w:tc>
      </w:tr>
      <w:tr>
        <w:tc>
          <w:tcPr>
            <w:tcW w:type="dxa" w:w="3427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Retención de TuraFood</w:t>
            </w:r>
          </w:p>
        </w:tc>
        <w:tc>
          <w:tcPr>
            <w:tcW w:type="dxa" w:w="6365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724"/>
                <w:sz w:val="20"/>
                <w:szCs w:val="20"/>
              </w:rPr>
              <w:t xml:space="preserve">$0</w:t>
            </w:r>
          </w:p>
        </w:tc>
      </w:tr>
    </w:tbl>
    <w:p>
      <w:pPr>
        <w:pStyle w:val="Heading2"/>
        <w:spacing w:after="110" w:before="280"/>
      </w:pPr>
      <w:r>
        <w:rPr>
          <w:rFonts w:ascii="Calibri" w:cs="Calibri" w:eastAsia="Calibri" w:hAnsi="Calibri"/>
          <w:b/>
          <w:bCs/>
          <w:color w:val="E2360F"/>
          <w:sz w:val="26"/>
          <w:szCs w:val="26"/>
        </w:rPr>
        <w:t xml:space="preserve">El negocio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color w:val="2B2724"/>
          <w:sz w:val="21"/>
          <w:szCs w:val="21"/>
        </w:rPr>
        <w:t xml:space="preserve">Recibe el 100% de lo que vende, directo. Solo paga si toma un plan de crecimiento, y ese cobro va por ePayco — el único punto donde TuraFood cobra algo.</w:t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22201D"/>
          <w:sz w:val="34"/>
          <w:szCs w:val="34"/>
        </w:rPr>
        <w:t xml:space="preserve">4. Condiciones de los planes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2B2724"/>
          <w:sz w:val="21"/>
          <w:szCs w:val="21"/>
        </w:rPr>
        <w:t xml:space="preserve">Los planes son un alquiler de tecnología, no una venta. Las herramientas siguen siendo de TuraFood y se usan mientras el plan esté vigente.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2B2724"/>
          <w:sz w:val="21"/>
          <w:szCs w:val="21"/>
        </w:rPr>
        <w:t xml:space="preserve">El presupuesto que se invierte en Google y Meta va aparte y lo define el negocio. TuraFood monta, mide y optimiza las campañas.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2B2724"/>
          <w:sz w:val="21"/>
          <w:szCs w:val="21"/>
        </w:rPr>
        <w:t xml:space="preserve">El agente de voz incluye 300 minutos al mes de uso razonable. Si la operación necesita más, se conversa y se ajusta.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2B2724"/>
          <w:sz w:val="21"/>
          <w:szCs w:val="21"/>
        </w:rPr>
        <w:t xml:space="preserve">Los espacios destacados de la app se reparten entre los negocios del plan; no son exclusivos de uno solo.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2B2724"/>
          <w:sz w:val="21"/>
          <w:szCs w:val="21"/>
        </w:rPr>
        <w:t xml:space="preserve">La app sigue siendo gratis con o sin plan. Nunca se va a cobrar comisión por pedido por no tener plan.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2B2724"/>
          <w:sz w:val="21"/>
          <w:szCs w:val="21"/>
        </w:rPr>
        <w:t xml:space="preserve">El plan anual se paga de una. Si se cancela antes, se devuelve la parte no usada descontando los servicios ya entregados (dominio, sitio, configuraciones).</w:t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22201D"/>
          <w:sz w:val="34"/>
          <w:szCs w:val="34"/>
        </w:rPr>
        <w:t xml:space="preserve">5. Cómo se levanta el tope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color w:val="2B2724"/>
          <w:sz w:val="21"/>
          <w:szCs w:val="21"/>
        </w:rPr>
        <w:t xml:space="preserve">Un negocio sin verificar puede vender, con un tope de 20 pedidos al día. Para quitarlo: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2B2724"/>
          <w:sz w:val="21"/>
          <w:szCs w:val="21"/>
        </w:rPr>
        <w:t xml:space="preserve">Agenda una videollamada de 30 minutos con el equipo desde su panel.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2B2724"/>
          <w:sz w:val="21"/>
          <w:szCs w:val="21"/>
        </w:rPr>
        <w:t xml:space="preserve">En la llamada se conoce el negocio y se resuelven dudas.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2B2724"/>
          <w:sz w:val="21"/>
          <w:szCs w:val="21"/>
        </w:rPr>
        <w:t xml:space="preserve">El equipo decide ahí mismo si levanta el tope.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color w:val="2B2724"/>
          <w:sz w:val="21"/>
          <w:szCs w:val="21"/>
        </w:rPr>
        <w:t xml:space="preserve">No se piden RUT, cámara de comercio ni concepto sanitario. Si el negocio los tiene, puede cargarlos, pero no son requisito para operar.</w:t>
      </w:r>
    </w:p>
    <w:tbl>
      <w:tblPr>
        <w:tblW w:type="dxa" w:w="9792"/>
        <w:tblBorders>
          <w:top w:val="single" w:color="FF441F" w:sz="2"/>
          <w:left w:val="single" w:color="FF441F" w:sz="18"/>
          <w:bottom w:val="single" w:color="FF441F" w:sz="2"/>
          <w:right w:val="single" w:color="FF441F" w:sz="2"/>
          <w:insideH w:val="none"/>
          <w:insideV w:val="none"/>
        </w:tblBorders>
      </w:tblPr>
      <w:tblGrid>
        <w:gridCol w:w="9792"/>
      </w:tblGrid>
      <w:tr>
        <w:tc>
          <w:tcPr>
            <w:tcW w:type="dxa" w:w="9792"/>
            <w:shd w:fill="FBF8F5" w:color="auto" w:val="clear"/>
            <w:tcMar>
              <w:top w:type="dxa" w:w="140"/>
              <w:left w:type="dxa" w:w="180"/>
              <w:bottom w:type="dxa" w:w="140"/>
              <w:right w:type="dxa" w:w="16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E2360F"/>
                <w:sz w:val="21"/>
                <w:szCs w:val="21"/>
              </w:rPr>
              <w:t xml:space="preserve">Respuesta en menos de 24 horas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2B2724"/>
                <w:sz w:val="20"/>
                <w:szCs w:val="20"/>
              </w:rPr>
              <w:t xml:space="preserve">Desde que agenda la llamada, el negocio ve un contador en su panel. Si llega a cero sin respuesta, la pantalla lo admite y le ofrece escribirle al equipo directamente.</w:t>
            </w:r>
          </w:p>
        </w:tc>
      </w:tr>
    </w:tbl>
    <w:p>
      <w:pPr>
        <w:pBdr>
          <w:bottom w:val="single" w:color="E4DFD8" w:sz="6" w:space="4"/>
        </w:pBdr>
        <w:spacing w:after="140" w:before="140"/>
      </w:pPr>
      <w:r>
        <w:rPr>
          <w:sz w:val="2"/>
          <w:szCs w:val="2"/>
        </w:rPr>
        <w:t xml:space="preserve"/>
      </w:r>
    </w:p>
    <w:p>
      <w:pPr>
        <w:spacing w:after="120" w:line="300"/>
        <w:jc w:val="left"/>
      </w:pPr>
      <w:r>
        <w:rPr>
          <w:rFonts w:ascii="Calibri" w:cs="Calibri" w:eastAsia="Calibri" w:hAnsi="Calibri"/>
          <w:i/>
          <w:iCs/>
          <w:color w:val="6E665D"/>
          <w:sz w:val="17"/>
          <w:szCs w:val="17"/>
        </w:rPr>
        <w:t xml:space="preserve">Los precios de este documento son los mismos que muestra la app y el sitio. Última revisión: agosto de 2026.</w:t>
      </w:r>
    </w:p>
    <w:sectPr>
      <w:footerReference w:type="default" r:id="rId7"/>
      <w:pgSz w:w="12240" w:h="15840" w:orient="portrait"/>
      <w:pgMar w:top="1296" w:right="1224" w:bottom="1296" w:left="122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E665D"/>
        <w:sz w:val="16"/>
        <w:szCs w:val="16"/>
      </w:rPr>
      <w:t xml:space="preserve">TuraFood AI · Membresías · Buenaventura, Colombia · turafood.com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20"/>
      </w:pPr>
      <w:rPr>
        <w:color w:val="FF441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2026-08-19T17:56:56.292Z</dcterms:created>
  <dcterms:modified xsi:type="dcterms:W3CDTF">2026-08-19T17:56:56.293Z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